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632" w:rsidRPr="00190632" w:rsidRDefault="00190632" w:rsidP="00190632">
      <w:pPr>
        <w:jc w:val="center"/>
        <w:rPr>
          <w:b/>
        </w:rPr>
      </w:pPr>
      <w:r w:rsidRPr="00190632">
        <w:rPr>
          <w:b/>
        </w:rPr>
        <w:t>BẢNG TRA CỨU CÁC KHOẢN KHÔNG</w:t>
      </w:r>
      <w:bookmarkStart w:id="0" w:name="_GoBack"/>
      <w:bookmarkEnd w:id="0"/>
      <w:r w:rsidRPr="00190632">
        <w:rPr>
          <w:b/>
        </w:rPr>
        <w:t xml:space="preserve"> ĐƯỢC TRỪ KHI TÍNH THUẾ TNDN 2018</w:t>
      </w:r>
    </w:p>
    <w:tbl>
      <w:tblPr>
        <w:tblStyle w:val="TableGrid"/>
        <w:tblpPr w:leftFromText="180" w:rightFromText="180" w:vertAnchor="text" w:horzAnchor="margin" w:tblpY="102"/>
        <w:tblW w:w="15925" w:type="dxa"/>
        <w:tblLook w:val="04A0" w:firstRow="1" w:lastRow="0" w:firstColumn="1" w:lastColumn="0" w:noHBand="0" w:noVBand="1"/>
      </w:tblPr>
      <w:tblGrid>
        <w:gridCol w:w="675"/>
        <w:gridCol w:w="2552"/>
        <w:gridCol w:w="6349"/>
        <w:gridCol w:w="6349"/>
      </w:tblGrid>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b/>
                <w:sz w:val="20"/>
                <w:szCs w:val="20"/>
              </w:rPr>
            </w:pPr>
            <w:r w:rsidRPr="00DC1775">
              <w:rPr>
                <w:rFonts w:ascii="Arial" w:hAnsi="Arial" w:cs="Arial"/>
                <w:b/>
                <w:sz w:val="20"/>
                <w:szCs w:val="20"/>
              </w:rPr>
              <w:t>STT</w:t>
            </w:r>
          </w:p>
        </w:tc>
        <w:tc>
          <w:tcPr>
            <w:tcW w:w="2552" w:type="dxa"/>
            <w:vAlign w:val="center"/>
          </w:tcPr>
          <w:p w:rsidR="00C72CEF" w:rsidRPr="00DC1775" w:rsidRDefault="00C72CEF" w:rsidP="00C72CEF">
            <w:pPr>
              <w:spacing w:before="120" w:after="120" w:line="360" w:lineRule="auto"/>
              <w:jc w:val="center"/>
              <w:rPr>
                <w:rFonts w:ascii="Arial" w:hAnsi="Arial" w:cs="Arial"/>
                <w:b/>
                <w:sz w:val="20"/>
                <w:szCs w:val="20"/>
              </w:rPr>
            </w:pPr>
            <w:r w:rsidRPr="00DC1775">
              <w:rPr>
                <w:rFonts w:ascii="Arial" w:hAnsi="Arial" w:cs="Arial"/>
                <w:b/>
                <w:sz w:val="20"/>
                <w:szCs w:val="20"/>
              </w:rPr>
              <w:t>Loạ</w:t>
            </w:r>
            <w:r>
              <w:rPr>
                <w:rFonts w:ascii="Arial" w:hAnsi="Arial" w:cs="Arial"/>
                <w:b/>
                <w:sz w:val="20"/>
                <w:szCs w:val="20"/>
              </w:rPr>
              <w:t>i chi phí</w:t>
            </w:r>
          </w:p>
        </w:tc>
        <w:tc>
          <w:tcPr>
            <w:tcW w:w="6349" w:type="dxa"/>
            <w:vAlign w:val="center"/>
          </w:tcPr>
          <w:p w:rsidR="00C72CEF" w:rsidRPr="00DC1775" w:rsidRDefault="00C72CEF" w:rsidP="00C72CEF">
            <w:pPr>
              <w:spacing w:before="120" w:after="120" w:line="360" w:lineRule="auto"/>
              <w:jc w:val="center"/>
              <w:rPr>
                <w:rFonts w:ascii="Arial" w:hAnsi="Arial" w:cs="Arial"/>
                <w:b/>
                <w:sz w:val="20"/>
                <w:szCs w:val="20"/>
              </w:rPr>
            </w:pPr>
            <w:r>
              <w:rPr>
                <w:rFonts w:ascii="Arial" w:hAnsi="Arial" w:cs="Arial"/>
                <w:b/>
                <w:sz w:val="20"/>
                <w:szCs w:val="20"/>
              </w:rPr>
              <w:t>Nội dung</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b/>
                <w:sz w:val="20"/>
                <w:szCs w:val="20"/>
              </w:rPr>
            </w:pPr>
            <w:r>
              <w:rPr>
                <w:rFonts w:ascii="Arial" w:hAnsi="Arial" w:cs="Arial"/>
                <w:b/>
                <w:sz w:val="20"/>
                <w:szCs w:val="20"/>
              </w:rPr>
              <w:t>1</w:t>
            </w:r>
          </w:p>
        </w:tc>
        <w:tc>
          <w:tcPr>
            <w:tcW w:w="2552" w:type="dxa"/>
            <w:vAlign w:val="center"/>
          </w:tcPr>
          <w:p w:rsidR="00C72CEF" w:rsidRDefault="00C72CEF" w:rsidP="00C72CEF">
            <w:pPr>
              <w:spacing w:before="120" w:after="120" w:line="360" w:lineRule="auto"/>
              <w:rPr>
                <w:rFonts w:ascii="Arial" w:hAnsi="Arial" w:cs="Arial"/>
                <w:sz w:val="20"/>
                <w:szCs w:val="20"/>
              </w:rPr>
            </w:pPr>
            <w:r w:rsidRPr="00DC1775">
              <w:rPr>
                <w:rFonts w:ascii="Arial" w:hAnsi="Arial" w:cs="Arial"/>
                <w:sz w:val="20"/>
                <w:szCs w:val="20"/>
              </w:rPr>
              <w:t>Khoản chi không đáp ứng đủ các điều kiện quy định tại Khoản 2 điều 4 Thông tư 96/2015/TT-BTC</w:t>
            </w:r>
            <w:r>
              <w:rPr>
                <w:rFonts w:ascii="Arial" w:hAnsi="Arial" w:cs="Arial"/>
                <w:sz w:val="20"/>
                <w:szCs w:val="20"/>
              </w:rPr>
              <w:t>, các điều kiện gồm:</w:t>
            </w:r>
          </w:p>
          <w:p w:rsidR="00C72CEF" w:rsidRPr="00250D0F" w:rsidRDefault="00C72CEF" w:rsidP="00C72CEF">
            <w:pPr>
              <w:pStyle w:val="ListParagraph"/>
              <w:numPr>
                <w:ilvl w:val="0"/>
                <w:numId w:val="1"/>
              </w:numPr>
              <w:spacing w:before="120" w:after="120" w:line="360" w:lineRule="auto"/>
              <w:rPr>
                <w:rFonts w:ascii="Arial" w:hAnsi="Arial" w:cs="Arial"/>
                <w:sz w:val="20"/>
                <w:szCs w:val="20"/>
              </w:rPr>
            </w:pPr>
            <w:r w:rsidRPr="00250D0F">
              <w:rPr>
                <w:rFonts w:ascii="Arial" w:hAnsi="Arial" w:cs="Arial"/>
                <w:sz w:val="20"/>
                <w:szCs w:val="20"/>
              </w:rPr>
              <w:t>Thực tế phát sinh liên quan đến hoạt động sản xuất, kinh doanh của doanh nghiệp;</w:t>
            </w:r>
          </w:p>
          <w:p w:rsidR="00C72CEF" w:rsidRPr="00250D0F" w:rsidRDefault="00C72CEF" w:rsidP="00C72CEF">
            <w:pPr>
              <w:pStyle w:val="ListParagraph"/>
              <w:numPr>
                <w:ilvl w:val="0"/>
                <w:numId w:val="1"/>
              </w:numPr>
              <w:spacing w:before="120" w:after="120" w:line="360" w:lineRule="auto"/>
              <w:rPr>
                <w:rFonts w:ascii="Arial" w:hAnsi="Arial" w:cs="Arial"/>
                <w:sz w:val="20"/>
                <w:szCs w:val="20"/>
              </w:rPr>
            </w:pPr>
            <w:r w:rsidRPr="00250D0F">
              <w:rPr>
                <w:rFonts w:ascii="Arial" w:hAnsi="Arial" w:cs="Arial"/>
                <w:sz w:val="20"/>
                <w:szCs w:val="20"/>
              </w:rPr>
              <w:t xml:space="preserve">Có đủ hoá đơn, chứng từ hợp pháp </w:t>
            </w:r>
            <w:proofErr w:type="gramStart"/>
            <w:r w:rsidRPr="00250D0F">
              <w:rPr>
                <w:rFonts w:ascii="Arial" w:hAnsi="Arial" w:cs="Arial"/>
                <w:sz w:val="20"/>
                <w:szCs w:val="20"/>
              </w:rPr>
              <w:t>theo</w:t>
            </w:r>
            <w:proofErr w:type="gramEnd"/>
            <w:r w:rsidRPr="00250D0F">
              <w:rPr>
                <w:rFonts w:ascii="Arial" w:hAnsi="Arial" w:cs="Arial"/>
                <w:sz w:val="20"/>
                <w:szCs w:val="20"/>
              </w:rPr>
              <w:t xml:space="preserve"> quy định của pháp luật.</w:t>
            </w:r>
          </w:p>
          <w:p w:rsidR="00C72CEF" w:rsidRPr="004D40FF" w:rsidRDefault="00C72CEF" w:rsidP="00C72CEF">
            <w:pPr>
              <w:pStyle w:val="ListParagraph"/>
              <w:numPr>
                <w:ilvl w:val="0"/>
                <w:numId w:val="1"/>
              </w:numPr>
              <w:spacing w:before="120" w:after="120" w:line="360" w:lineRule="auto"/>
              <w:rPr>
                <w:rFonts w:ascii="Arial" w:hAnsi="Arial" w:cs="Arial"/>
                <w:sz w:val="20"/>
                <w:szCs w:val="20"/>
              </w:rPr>
            </w:pPr>
            <w:r w:rsidRPr="00250D0F">
              <w:rPr>
                <w:rFonts w:ascii="Arial" w:hAnsi="Arial" w:cs="Arial"/>
                <w:sz w:val="20"/>
                <w:szCs w:val="20"/>
              </w:rPr>
              <w:t>Khoản chi nếu có hoá đơn mua hàng hoá, dịch vụ từng lần có giá trị từ 20 triệu đồng trở lên (giá đã bao gồm thuế GTGT) khi thanh toán phải có chứng từ thanh toán không dùng tiền mặt.</w:t>
            </w:r>
          </w:p>
          <w:p w:rsidR="00C72CEF" w:rsidRPr="00DC1775" w:rsidRDefault="00C72CEF" w:rsidP="00C72CEF">
            <w:pPr>
              <w:spacing w:before="120" w:after="120" w:line="360" w:lineRule="auto"/>
              <w:jc w:val="center"/>
              <w:rPr>
                <w:rFonts w:ascii="Arial" w:hAnsi="Arial" w:cs="Arial"/>
                <w:b/>
                <w:sz w:val="20"/>
                <w:szCs w:val="20"/>
              </w:rPr>
            </w:pPr>
          </w:p>
        </w:tc>
        <w:tc>
          <w:tcPr>
            <w:tcW w:w="6349" w:type="dxa"/>
            <w:vAlign w:val="center"/>
          </w:tcPr>
          <w:p w:rsidR="00C72CEF" w:rsidRDefault="00C72CEF" w:rsidP="00C72CEF">
            <w:pPr>
              <w:spacing w:before="120" w:after="120" w:line="360" w:lineRule="auto"/>
              <w:rPr>
                <w:rFonts w:ascii="Arial" w:hAnsi="Arial" w:cs="Arial"/>
                <w:sz w:val="20"/>
                <w:szCs w:val="20"/>
              </w:rPr>
            </w:pPr>
            <w:r>
              <w:rPr>
                <w:rFonts w:ascii="Arial" w:hAnsi="Arial" w:cs="Arial"/>
                <w:sz w:val="20"/>
                <w:szCs w:val="20"/>
              </w:rPr>
              <w:t xml:space="preserve">- </w:t>
            </w:r>
            <w:r>
              <w:rPr>
                <w:lang w:val="am-ET"/>
              </w:rPr>
              <w:t>Trường hợp doanh nghiệp có chi phí liên quan đến phần giá trị tổn thất do thiên tai, dịch bệnh, hỏa hoạn và trường hợp bất khả kháng khác không được bồi thường thì khoản chi này được tính vào chi phí được trừ khi xác định thu nhập chịu thuế, cụ thể như sau:</w:t>
            </w:r>
          </w:p>
          <w:p w:rsidR="00C72CEF" w:rsidRPr="00833100" w:rsidRDefault="00C72CEF" w:rsidP="00C72CEF">
            <w:pPr>
              <w:pStyle w:val="ListParagraph"/>
              <w:numPr>
                <w:ilvl w:val="0"/>
                <w:numId w:val="11"/>
              </w:numPr>
              <w:spacing w:before="120" w:after="120" w:line="360" w:lineRule="auto"/>
              <w:rPr>
                <w:rFonts w:ascii="Arial" w:hAnsi="Arial" w:cs="Arial"/>
                <w:sz w:val="20"/>
                <w:szCs w:val="20"/>
              </w:rPr>
            </w:pPr>
            <w:r w:rsidRPr="00833100">
              <w:rPr>
                <w:lang w:val="am-ET"/>
              </w:rPr>
              <w:t>Doanh nghiệp phải tự xác định rõ tổng giá trị tổn thất do thiên tai, dịch bệnh, hỏa hoạn và trường hợp bất khả kháng khác theo quy định của pháp luật.</w:t>
            </w:r>
          </w:p>
          <w:p w:rsidR="00C72CEF" w:rsidRPr="00833100" w:rsidRDefault="00C72CEF" w:rsidP="00C72CEF">
            <w:pPr>
              <w:pStyle w:val="ListParagraph"/>
              <w:numPr>
                <w:ilvl w:val="0"/>
                <w:numId w:val="11"/>
              </w:numPr>
              <w:spacing w:before="120" w:after="120" w:line="360" w:lineRule="auto"/>
              <w:rPr>
                <w:rFonts w:ascii="Arial" w:hAnsi="Arial" w:cs="Arial"/>
                <w:sz w:val="20"/>
                <w:szCs w:val="20"/>
              </w:rPr>
            </w:pPr>
            <w:r w:rsidRPr="00833100">
              <w:rPr>
                <w:lang w:val="am-ET"/>
              </w:rPr>
              <w:t>Phần giá trị tổn thất do thiên tai, dịch bệnh, hỏa hoạn và trường hợp bất khả kháng khác không được bồi thường được xác định bằng tổng giá trị tổn thất trừ phần giá trị doanh nghiệp bảo hiểm hoặc tổ chức, cá nhân khác phải bồi thường theo quy định của pháp luật.</w:t>
            </w:r>
          </w:p>
          <w:p w:rsidR="00C72CEF" w:rsidRPr="00833100" w:rsidRDefault="00C72CEF" w:rsidP="00C72CEF">
            <w:pPr>
              <w:spacing w:before="120" w:after="120" w:line="360" w:lineRule="auto"/>
              <w:rPr>
                <w:rFonts w:ascii="Arial" w:hAnsi="Arial" w:cs="Arial"/>
                <w:i/>
                <w:sz w:val="20"/>
                <w:szCs w:val="20"/>
              </w:rPr>
            </w:pPr>
            <w:r w:rsidRPr="00833100">
              <w:rPr>
                <w:i/>
                <w:lang w:val="am-ET"/>
              </w:rPr>
              <w:t>a) Hồ sơ đối với tài sản, hàng hóa bị tổn thất do thiên tai, dịch bệnh, hỏa hoạn được tính vào chi phí được trừ như sau:</w:t>
            </w:r>
          </w:p>
          <w:p w:rsidR="00C72CEF" w:rsidRPr="00833100" w:rsidRDefault="00C72CEF" w:rsidP="00C72CEF">
            <w:pPr>
              <w:pStyle w:val="ListParagraph"/>
              <w:numPr>
                <w:ilvl w:val="0"/>
                <w:numId w:val="10"/>
              </w:numPr>
              <w:spacing w:before="120" w:after="120" w:line="360" w:lineRule="auto"/>
              <w:rPr>
                <w:rFonts w:ascii="Arial" w:hAnsi="Arial" w:cs="Arial"/>
                <w:sz w:val="20"/>
                <w:szCs w:val="20"/>
              </w:rPr>
            </w:pPr>
            <w:r w:rsidRPr="00833100">
              <w:rPr>
                <w:lang w:val="am-ET"/>
              </w:rPr>
              <w:t>Biên bản kiểm kê giá trị tài sản, hàng hóa bị tổn thất do doanh nghiệp lập.</w:t>
            </w:r>
            <w:r w:rsidRPr="00833100">
              <w:rPr>
                <w:rFonts w:ascii="Arial" w:hAnsi="Arial" w:cs="Arial"/>
                <w:sz w:val="20"/>
                <w:szCs w:val="20"/>
              </w:rPr>
              <w:t xml:space="preserve"> </w:t>
            </w:r>
            <w:r w:rsidRPr="00833100">
              <w:rPr>
                <w:lang w:val="am-ET"/>
              </w:rPr>
              <w:t>Biên bản kiểm kê giá trị tài sản, hàng hóa tổn thất phải xác định rõ giá trị tài sản, hàng hóa bị tổn thất, nguyên nhân tổn thất, trách nhiệm của tổ chức, cá nhân về những tổn thất; chủng loại, số lượng, giá trị tài sản, hàng hóa có thể thu hồi được (nếu có); bảng kê xuất nhập tồn hàng hóa bị tổn thất có xác nhận do đại diện hợp pháp của doanh nghiệp ký và chịu trách nhiệm trước pháp luật.</w:t>
            </w:r>
          </w:p>
          <w:p w:rsidR="00C72CEF" w:rsidRPr="00833100" w:rsidRDefault="00C72CEF" w:rsidP="00C72CEF">
            <w:pPr>
              <w:pStyle w:val="ListParagraph"/>
              <w:numPr>
                <w:ilvl w:val="0"/>
                <w:numId w:val="10"/>
              </w:numPr>
              <w:spacing w:before="120" w:after="120" w:line="360" w:lineRule="auto"/>
              <w:rPr>
                <w:rFonts w:ascii="Arial" w:hAnsi="Arial" w:cs="Arial"/>
                <w:sz w:val="20"/>
                <w:szCs w:val="20"/>
              </w:rPr>
            </w:pPr>
            <w:r w:rsidRPr="00833100">
              <w:rPr>
                <w:lang w:val="am-ET"/>
              </w:rPr>
              <w:t>Hồ sơ bồi thường thiệt hại được cơ quan bảo hiểm chấp nhận bồi thường (nếu có).</w:t>
            </w:r>
          </w:p>
          <w:p w:rsidR="00C72CEF" w:rsidRPr="00833100" w:rsidRDefault="00C72CEF" w:rsidP="00C72CEF">
            <w:pPr>
              <w:pStyle w:val="ListParagraph"/>
              <w:numPr>
                <w:ilvl w:val="0"/>
                <w:numId w:val="10"/>
              </w:numPr>
              <w:spacing w:before="120" w:after="120" w:line="360" w:lineRule="auto"/>
              <w:rPr>
                <w:rFonts w:ascii="Arial" w:hAnsi="Arial" w:cs="Arial"/>
                <w:sz w:val="20"/>
                <w:szCs w:val="20"/>
              </w:rPr>
            </w:pPr>
            <w:r w:rsidRPr="00833100">
              <w:rPr>
                <w:lang w:val="am-ET"/>
              </w:rPr>
              <w:t>Hồ sơ quy định trách nhiệm của tổ chức, cá nhân phải bồi thường (nếu có).</w:t>
            </w:r>
          </w:p>
          <w:p w:rsidR="00C72CEF" w:rsidRDefault="00C72CEF" w:rsidP="00C72CEF">
            <w:pPr>
              <w:spacing w:before="120" w:after="120" w:line="360" w:lineRule="auto"/>
              <w:rPr>
                <w:rFonts w:ascii="Arial" w:hAnsi="Arial" w:cs="Arial"/>
                <w:i/>
                <w:sz w:val="20"/>
                <w:szCs w:val="20"/>
              </w:rPr>
            </w:pPr>
            <w:r w:rsidRPr="00833100">
              <w:rPr>
                <w:i/>
                <w:lang w:val="am-ET"/>
              </w:rPr>
              <w:t xml:space="preserve">b) Hàng hóa bị hư hỏng do thay đổi quá trình sinh hóa tự nhiên, </w:t>
            </w:r>
            <w:r w:rsidRPr="00833100">
              <w:rPr>
                <w:i/>
                <w:lang w:val="am-ET"/>
              </w:rPr>
              <w:lastRenderedPageBreak/>
              <w:t>hàng hóa hết hạn sử dụng, không được bồi thường thì được tính vào chi phí được trừ khi xác định thu nhập chịu thuế.</w:t>
            </w:r>
          </w:p>
          <w:p w:rsidR="00C72CEF" w:rsidRDefault="00C72CEF" w:rsidP="00C72CEF">
            <w:pPr>
              <w:spacing w:before="120" w:after="120" w:line="360" w:lineRule="auto"/>
              <w:rPr>
                <w:rFonts w:ascii="Arial" w:hAnsi="Arial" w:cs="Arial"/>
                <w:i/>
                <w:sz w:val="20"/>
                <w:szCs w:val="20"/>
              </w:rPr>
            </w:pPr>
            <w:r>
              <w:rPr>
                <w:lang w:val="am-ET"/>
              </w:rPr>
              <w:t>Hồ sơ đối với hàng hóa bị hư hỏng do thay đổi quá trình sinh hóa tự nhiên, hàng hóa hết hạn sử dụng, được tính vào chi phí được trừ như sau:</w:t>
            </w:r>
          </w:p>
          <w:p w:rsidR="00C72CEF" w:rsidRPr="00833100" w:rsidRDefault="00C72CEF" w:rsidP="00C72CEF">
            <w:pPr>
              <w:pStyle w:val="ListParagraph"/>
              <w:numPr>
                <w:ilvl w:val="0"/>
                <w:numId w:val="9"/>
              </w:numPr>
              <w:spacing w:before="120" w:after="120" w:line="360" w:lineRule="auto"/>
              <w:rPr>
                <w:rFonts w:ascii="Arial" w:hAnsi="Arial" w:cs="Arial"/>
                <w:i/>
                <w:sz w:val="20"/>
                <w:szCs w:val="20"/>
              </w:rPr>
            </w:pPr>
            <w:r w:rsidRPr="00833100">
              <w:rPr>
                <w:lang w:val="am-ET"/>
              </w:rPr>
              <w:t>Biên bản kiểm kê giá trị hàng hóa bị hư hỏng do doanh nghiệp lập.</w:t>
            </w:r>
            <w:r w:rsidRPr="00833100">
              <w:rPr>
                <w:rFonts w:ascii="Arial" w:hAnsi="Arial" w:cs="Arial"/>
                <w:i/>
                <w:sz w:val="20"/>
                <w:szCs w:val="20"/>
              </w:rPr>
              <w:t xml:space="preserve"> </w:t>
            </w:r>
            <w:r w:rsidRPr="00833100">
              <w:rPr>
                <w:lang w:val="am-ET"/>
              </w:rPr>
              <w:t>Biên bản kiểm kê giá trị hàng hóa hư hỏng phải xác định rõ giá trị hàng hóa bị hư hỏng, nguyên nhân hư hỏng; chủng loại, số lượng, giá trị hàng hóa có thể thu hồi được (nếu có) kèm theo bảng kê xuất nhập tồn hàng hóa bị hư hỏng có xác nhận do đại diện hợp pháp của doanh nghiệp ký và chịu trách nhiệm trước pháp luật.</w:t>
            </w:r>
          </w:p>
          <w:p w:rsidR="00C72CEF" w:rsidRPr="00833100" w:rsidRDefault="00C72CEF" w:rsidP="00C72CEF">
            <w:pPr>
              <w:pStyle w:val="ListParagraph"/>
              <w:numPr>
                <w:ilvl w:val="0"/>
                <w:numId w:val="9"/>
              </w:numPr>
              <w:spacing w:before="120" w:after="120" w:line="360" w:lineRule="auto"/>
              <w:rPr>
                <w:rFonts w:ascii="Arial" w:hAnsi="Arial" w:cs="Arial"/>
                <w:i/>
                <w:sz w:val="20"/>
                <w:szCs w:val="20"/>
              </w:rPr>
            </w:pPr>
            <w:r w:rsidRPr="00833100">
              <w:rPr>
                <w:lang w:val="am-ET"/>
              </w:rPr>
              <w:t>Hồ sơ bồi thường thiệt hại được cơ quan bảo hiểm chấp nhận bồi thường (nếu có).</w:t>
            </w:r>
          </w:p>
          <w:p w:rsidR="00C72CEF" w:rsidRPr="00833100" w:rsidRDefault="00C72CEF" w:rsidP="00C72CEF">
            <w:pPr>
              <w:pStyle w:val="ListParagraph"/>
              <w:numPr>
                <w:ilvl w:val="0"/>
                <w:numId w:val="9"/>
              </w:numPr>
              <w:spacing w:before="120" w:after="120" w:line="360" w:lineRule="auto"/>
              <w:rPr>
                <w:rFonts w:ascii="Arial" w:hAnsi="Arial" w:cs="Arial"/>
                <w:i/>
                <w:sz w:val="20"/>
                <w:szCs w:val="20"/>
              </w:rPr>
            </w:pPr>
            <w:r w:rsidRPr="00833100">
              <w:rPr>
                <w:lang w:val="am-ET"/>
              </w:rPr>
              <w:t>Hồ sơ quy định trách nhiệm của tổ chức, cá nhân phải bồi thường (nếu có).</w:t>
            </w:r>
          </w:p>
          <w:p w:rsidR="00C72CEF" w:rsidRDefault="00C72CEF" w:rsidP="00C72CEF">
            <w:pPr>
              <w:spacing w:before="120" w:after="120" w:line="360" w:lineRule="auto"/>
              <w:rPr>
                <w:rFonts w:ascii="Arial" w:hAnsi="Arial" w:cs="Arial"/>
                <w:b/>
                <w:sz w:val="20"/>
                <w:szCs w:val="20"/>
              </w:rPr>
            </w:pPr>
            <w:r w:rsidRPr="00833100">
              <w:rPr>
                <w:i/>
                <w:lang w:val="am-ET"/>
              </w:rPr>
              <w:t>c) Hồ sơ nêu trên được lưu tại doanh nghiệp và xuất trình với cơ quan thuế khi cơ quan thuế yêu cầu.</w:t>
            </w:r>
          </w:p>
        </w:tc>
      </w:tr>
      <w:tr w:rsidR="00C72CEF" w:rsidRPr="00DC1775" w:rsidTr="00190632">
        <w:trPr>
          <w:gridAfter w:val="1"/>
          <w:wAfter w:w="6349" w:type="dxa"/>
        </w:trPr>
        <w:tc>
          <w:tcPr>
            <w:tcW w:w="675" w:type="dxa"/>
            <w:vMerge w:val="restart"/>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lastRenderedPageBreak/>
              <w:t>2</w:t>
            </w:r>
          </w:p>
        </w:tc>
        <w:tc>
          <w:tcPr>
            <w:tcW w:w="2552" w:type="dxa"/>
            <w:vMerge w:val="restart"/>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Chi phí khấu hao tài sản cố định (TSCĐ)</w:t>
            </w: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TSCĐ không sử dụng cho hoạt động sản xuất, kinh doanh hàng hóa, dịch vụ.</w:t>
            </w:r>
          </w:p>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w:t>
            </w:r>
            <w:r w:rsidRPr="00DC1775">
              <w:rPr>
                <w:rFonts w:ascii="Arial" w:hAnsi="Arial" w:cs="Arial"/>
                <w:i/>
                <w:sz w:val="20"/>
                <w:szCs w:val="20"/>
              </w:rPr>
              <w:t>trừ TSCĐ phục vụ cho NLĐ như: nhà nghỉ giữa ca, nhà ăn giữa ca, nhà thay quần áo, nhà vệ sinh, phòng hoặc trạm y tế, cơ sở đào tạo, dạy nghề, thư viện, nhà trẻ, khu thể thao và các thiết bị, nội thất đủ điều kiện là TSCĐ lắp đặt trong các công trình nêu trên; bể chứa nước sạch, nhà để xe; xe đưa đón NLĐ, nhà ở trực tiếp cho NLĐ; chi phí xây dựng cơ sở vật chất, mua sắm máy, thiết bị là TSCĐ dùng để tổ chức hoạt động giáo dục nghề nghiệp</w:t>
            </w:r>
            <w:r w:rsidRPr="00DC1775">
              <w:rPr>
                <w:rFonts w:ascii="Arial" w:hAnsi="Arial" w:cs="Arial"/>
                <w:sz w:val="20"/>
                <w:szCs w:val="20"/>
              </w:rPr>
              <w:t>).</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TSCĐ không có giấy tờ chứng minh thuộc quyền sở hữu của doanh nghiệp (</w:t>
            </w:r>
            <w:r w:rsidRPr="00DC1775">
              <w:rPr>
                <w:rFonts w:ascii="Arial" w:hAnsi="Arial" w:cs="Arial"/>
                <w:i/>
                <w:sz w:val="20"/>
                <w:szCs w:val="20"/>
              </w:rPr>
              <w:t>trừ TSCĐ thuê mua tài chính</w:t>
            </w:r>
            <w:r w:rsidRPr="00DC1775">
              <w:rPr>
                <w:rFonts w:ascii="Arial" w:hAnsi="Arial" w:cs="Arial"/>
                <w:sz w:val="20"/>
                <w:szCs w:val="20"/>
              </w:rPr>
              <w:t>).</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TSCĐ không được quản lý, theo dõi, hạch toán trong sổ sách kế toán của doanh nghiệp theo chế độ quản lý TSCĐ và hạch toán kế toán hiện hành.</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833100" w:rsidRDefault="00C72CEF" w:rsidP="00C72CEF">
            <w:pPr>
              <w:spacing w:before="120" w:after="120" w:line="360" w:lineRule="auto"/>
              <w:rPr>
                <w:rFonts w:ascii="Arial" w:hAnsi="Arial" w:cs="Arial"/>
                <w:sz w:val="20"/>
                <w:szCs w:val="20"/>
              </w:rPr>
            </w:pPr>
            <w:r w:rsidRPr="00833100">
              <w:rPr>
                <w:rFonts w:ascii="Arial" w:hAnsi="Arial" w:cs="Arial"/>
                <w:sz w:val="20"/>
                <w:szCs w:val="20"/>
                <w:lang w:val="am-ET"/>
              </w:rPr>
              <w:t>-</w:t>
            </w:r>
            <w:r>
              <w:rPr>
                <w:lang w:val="am-ET"/>
              </w:rPr>
              <w:t xml:space="preserve"> </w:t>
            </w:r>
            <w:r w:rsidRPr="00833100">
              <w:rPr>
                <w:lang w:val="am-ET"/>
              </w:rPr>
              <w:t>Phần trích khấu hao vượt mức quy định hiện hành của Bộ Tài chính về chế độ quản lý, sử dụng và trích khấu hao tài sản cố định.</w:t>
            </w:r>
          </w:p>
          <w:p w:rsidR="00C72CEF" w:rsidRDefault="00C72CEF" w:rsidP="00C72CEF">
            <w:pPr>
              <w:spacing w:before="120" w:after="120" w:line="360" w:lineRule="auto"/>
              <w:rPr>
                <w:rFonts w:ascii="Arial" w:hAnsi="Arial" w:cs="Arial"/>
                <w:sz w:val="20"/>
                <w:szCs w:val="20"/>
              </w:rPr>
            </w:pPr>
            <w:r>
              <w:t xml:space="preserve">- </w:t>
            </w:r>
            <w:r>
              <w:rPr>
                <w:lang w:val="am-ET"/>
              </w:rPr>
              <w:t>Doanh nghiệp thực hiện thông báo phương pháp trích khấu hao tài sản cố định mà doanh nghiệp lựa chọn áp dụng với cơ quan thuế trực tiếp quản lý trước khi thực hiện trích khấu hao (ví dụ: thông báo lựa chọn thực hiện phương pháp khấu hao đường thẳng...). Hàng năm doanh nghiệp trích khấu hao tài sản cố định theo quy định hiện hành của Bộ Tài chính về chế độ quản lý, sử dụng và trích khấu hao tài sản cố định kể cả trường hợp khấu hao nhanh (nếu đáp ứng điều kiện).</w:t>
            </w:r>
          </w:p>
          <w:p w:rsidR="00C72CEF" w:rsidRDefault="00C72CEF" w:rsidP="00C72CEF">
            <w:pPr>
              <w:spacing w:before="120" w:after="120" w:line="360" w:lineRule="auto"/>
              <w:rPr>
                <w:rFonts w:ascii="Arial" w:hAnsi="Arial" w:cs="Arial"/>
                <w:sz w:val="20"/>
                <w:szCs w:val="20"/>
              </w:rPr>
            </w:pPr>
            <w:r>
              <w:t xml:space="preserve">- </w:t>
            </w:r>
            <w:r>
              <w:rPr>
                <w:lang w:val="am-ET"/>
              </w:rPr>
              <w:t>Doanh nghiệp hoạt động có hiệu quả kinh tế cao được trích khấu hao nhanh nhưng tối đa không quá 2 lần mức khấu hao xác định theo phương pháp đường thẳng để nhanh chóng đổi mới công nghệ đối với một số tài sản cố định theo quy định hiện hành của Bộ Tài chính về chế độ quản lý, sử dụng và trích khấu hao tài sản cố định. Khi thực hiện trích khấu hao nhanh, doanh nghiệp phải đảm bảo kinh doanh có lãi.</w:t>
            </w:r>
          </w:p>
          <w:p w:rsidR="00C72CEF" w:rsidRDefault="00C72CEF" w:rsidP="00C72CEF">
            <w:pPr>
              <w:spacing w:before="120" w:after="120" w:line="360" w:lineRule="auto"/>
              <w:rPr>
                <w:rFonts w:ascii="Arial" w:hAnsi="Arial" w:cs="Arial"/>
                <w:sz w:val="20"/>
                <w:szCs w:val="20"/>
              </w:rPr>
            </w:pPr>
            <w:r>
              <w:t xml:space="preserve">- </w:t>
            </w:r>
            <w:r>
              <w:rPr>
                <w:lang w:val="am-ET"/>
              </w:rPr>
              <w:t>Tài sản cố định góp vốn, tài sản cố định điều chuyển khi chia, tách, hợp nhất, sáp nhập, chuyển đổi loại hình có đánh giá lại theo quy định thì doanh nghiệp nhận tài sản cố định này được tính khấu hao vào chi phí được trừ theo nguyên giá đánh giá lại. Đối với loại tài sản khác không đủ tiêu chuẩn là tài sản cố định có góp vốn, điều chuyển khi chia, tách, hợp nhất, sáp nhập, chuyển đổi loại hình và tài sản này có đánh giá lại theo quy định thì doanh nghiệp nhận tài sản này được tính vào chi phí hoặc phân bổ dần vào chi phí được trừ theo giá đánh giá lại.</w:t>
            </w:r>
          </w:p>
          <w:p w:rsidR="00C72CEF" w:rsidRDefault="00C72CEF" w:rsidP="00C72CEF">
            <w:pPr>
              <w:spacing w:before="120" w:after="120" w:line="360" w:lineRule="auto"/>
              <w:rPr>
                <w:rFonts w:ascii="Arial" w:hAnsi="Arial" w:cs="Arial"/>
                <w:sz w:val="20"/>
                <w:szCs w:val="20"/>
              </w:rPr>
            </w:pPr>
            <w:r>
              <w:t xml:space="preserve">- </w:t>
            </w:r>
            <w:r>
              <w:rPr>
                <w:lang w:val="am-ET"/>
              </w:rPr>
              <w:t>Đối với tài sản cố định tự làm nguyên giá tài sản cố định được trích khấu hao tính vào chi phí được trừ là tổng các chi phí sản xuất để hình thành nên tài sản đó.</w:t>
            </w:r>
          </w:p>
          <w:p w:rsidR="00C72CEF" w:rsidRPr="00DC1775" w:rsidRDefault="00C72CEF" w:rsidP="00C72CEF">
            <w:pPr>
              <w:spacing w:before="120" w:after="120" w:line="360" w:lineRule="auto"/>
              <w:rPr>
                <w:rFonts w:ascii="Arial" w:hAnsi="Arial" w:cs="Arial"/>
                <w:sz w:val="20"/>
                <w:szCs w:val="20"/>
              </w:rPr>
            </w:pPr>
            <w:r>
              <w:t xml:space="preserve">- </w:t>
            </w:r>
            <w:r>
              <w:rPr>
                <w:lang w:val="am-ET"/>
              </w:rPr>
              <w:t xml:space="preserve">Đối với tài sản là công cụ, dụng cụ, bao bì luân </w:t>
            </w:r>
            <w:proofErr w:type="gramStart"/>
            <w:r>
              <w:rPr>
                <w:lang w:val="am-ET"/>
              </w:rPr>
              <w:t>chuyển, ...</w:t>
            </w:r>
            <w:proofErr w:type="gramEnd"/>
            <w:r>
              <w:rPr>
                <w:lang w:val="am-ET"/>
              </w:rPr>
              <w:t xml:space="preserve"> không đáp ứng đủ điều kiện xác định là tài sản cố định theo quy định thì chi phí mua tài sản nêu trên được phân bổ dần vào chi phí hoạt động sản xuất kinh doanh trong kỳ nhưng tối đa không quá 3 năm.</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4D40FF" w:rsidRDefault="00C72CEF" w:rsidP="00C72CEF">
            <w:pPr>
              <w:spacing w:before="120" w:after="120" w:line="360" w:lineRule="auto"/>
              <w:rPr>
                <w:rFonts w:ascii="Arial" w:hAnsi="Arial" w:cs="Arial"/>
                <w:sz w:val="20"/>
                <w:szCs w:val="20"/>
              </w:rPr>
            </w:pPr>
            <w:r w:rsidRPr="00DC1775">
              <w:rPr>
                <w:rFonts w:ascii="Arial" w:hAnsi="Arial" w:cs="Arial"/>
                <w:sz w:val="20"/>
                <w:szCs w:val="20"/>
              </w:rPr>
              <w:t>Khấu hao đối với TSCĐ đã khấu hao hết giá trị.</w:t>
            </w:r>
          </w:p>
        </w:tc>
      </w:tr>
      <w:tr w:rsidR="00190632" w:rsidRPr="00DC1775" w:rsidTr="00190632">
        <w:trPr>
          <w:gridAfter w:val="1"/>
          <w:wAfter w:w="6349" w:type="dxa"/>
          <w:trHeight w:val="16460"/>
        </w:trPr>
        <w:tc>
          <w:tcPr>
            <w:tcW w:w="675" w:type="dxa"/>
            <w:vMerge/>
            <w:vAlign w:val="center"/>
          </w:tcPr>
          <w:p w:rsidR="00190632" w:rsidRPr="00DC1775" w:rsidRDefault="00190632" w:rsidP="00C72CEF">
            <w:pPr>
              <w:spacing w:before="120" w:after="120" w:line="360" w:lineRule="auto"/>
              <w:jc w:val="center"/>
              <w:rPr>
                <w:rFonts w:ascii="Arial" w:hAnsi="Arial" w:cs="Arial"/>
                <w:sz w:val="20"/>
                <w:szCs w:val="20"/>
              </w:rPr>
            </w:pPr>
          </w:p>
        </w:tc>
        <w:tc>
          <w:tcPr>
            <w:tcW w:w="2552" w:type="dxa"/>
            <w:vMerge/>
            <w:vAlign w:val="center"/>
          </w:tcPr>
          <w:p w:rsidR="00190632" w:rsidRPr="00DC1775" w:rsidRDefault="00190632" w:rsidP="00C72CEF">
            <w:pPr>
              <w:spacing w:before="120" w:after="120" w:line="360" w:lineRule="auto"/>
              <w:jc w:val="center"/>
              <w:rPr>
                <w:rFonts w:ascii="Arial" w:hAnsi="Arial" w:cs="Arial"/>
                <w:sz w:val="20"/>
                <w:szCs w:val="20"/>
              </w:rPr>
            </w:pPr>
          </w:p>
        </w:tc>
        <w:tc>
          <w:tcPr>
            <w:tcW w:w="6349" w:type="dxa"/>
            <w:vAlign w:val="center"/>
          </w:tcPr>
          <w:p w:rsidR="00190632" w:rsidRPr="004D40FF" w:rsidRDefault="00190632" w:rsidP="00190632">
            <w:pPr>
              <w:spacing w:before="120" w:after="120" w:line="360" w:lineRule="auto"/>
              <w:rPr>
                <w:rFonts w:ascii="Arial" w:hAnsi="Arial" w:cs="Arial"/>
                <w:sz w:val="20"/>
                <w:szCs w:val="20"/>
              </w:rPr>
            </w:pPr>
            <w:r w:rsidRPr="004D40FF">
              <w:rPr>
                <w:rFonts w:ascii="Arial" w:hAnsi="Arial" w:cs="Arial"/>
                <w:sz w:val="20"/>
                <w:szCs w:val="20"/>
              </w:rPr>
              <w:t>-</w:t>
            </w:r>
            <w:r>
              <w:rPr>
                <w:rFonts w:ascii="Arial" w:hAnsi="Arial" w:cs="Arial"/>
                <w:sz w:val="20"/>
                <w:szCs w:val="20"/>
              </w:rPr>
              <w:t xml:space="preserve"> </w:t>
            </w:r>
            <w:r w:rsidRPr="004D40FF">
              <w:rPr>
                <w:rFonts w:ascii="Arial" w:hAnsi="Arial" w:cs="Arial"/>
                <w:sz w:val="20"/>
                <w:szCs w:val="20"/>
              </w:rPr>
              <w:t>Phần trích khấu hao tương ứng với nguyên giá vượt trên 1</w:t>
            </w:r>
            <w:proofErr w:type="gramStart"/>
            <w:r w:rsidRPr="004D40FF">
              <w:rPr>
                <w:rFonts w:ascii="Arial" w:hAnsi="Arial" w:cs="Arial"/>
                <w:sz w:val="20"/>
                <w:szCs w:val="20"/>
              </w:rPr>
              <w:t>,6</w:t>
            </w:r>
            <w:proofErr w:type="gramEnd"/>
            <w:r w:rsidRPr="004D40FF">
              <w:rPr>
                <w:rFonts w:ascii="Arial" w:hAnsi="Arial" w:cs="Arial"/>
                <w:sz w:val="20"/>
                <w:szCs w:val="20"/>
              </w:rPr>
              <w:t xml:space="preserve"> tỷ đồng/xe đối với ô tô chở người từ 9 chỗ ngồi trở xuống (trừ: ô tô dùng cho kinh doanh vận tải hành khách, kinh doanh du lịch, khách sạn; ô tô dùng để làm mẫu và lái thử cho kinh doanh ô tô).</w:t>
            </w:r>
          </w:p>
          <w:p w:rsidR="00190632" w:rsidRDefault="00190632" w:rsidP="00190632">
            <w:pPr>
              <w:spacing w:before="120" w:after="120" w:line="360" w:lineRule="auto"/>
              <w:rPr>
                <w:rFonts w:ascii="Arial" w:hAnsi="Arial" w:cs="Arial"/>
                <w:sz w:val="20"/>
                <w:szCs w:val="20"/>
              </w:rPr>
            </w:pPr>
            <w:r>
              <w:t>- P</w:t>
            </w:r>
            <w:r>
              <w:rPr>
                <w:lang w:val="vi-VN"/>
              </w:rPr>
              <w:t>hần trích khấu hao đối với tài sản cố định là tàu bay dân dụng và du thuyền không sử dụng cho mục đích kinh doanh vận chuyển hàng hóa, hành khách, khách du lịch.</w:t>
            </w:r>
          </w:p>
          <w:p w:rsidR="00190632" w:rsidRDefault="00190632" w:rsidP="00190632">
            <w:pPr>
              <w:spacing w:before="120" w:after="120" w:line="360" w:lineRule="auto"/>
              <w:rPr>
                <w:rFonts w:ascii="Arial" w:hAnsi="Arial" w:cs="Arial"/>
                <w:sz w:val="20"/>
                <w:szCs w:val="20"/>
              </w:rPr>
            </w:pPr>
            <w:r>
              <w:rPr>
                <w:rFonts w:ascii="Arial" w:hAnsi="Arial" w:cs="Arial"/>
                <w:sz w:val="20"/>
                <w:szCs w:val="20"/>
              </w:rPr>
              <w:t xml:space="preserve">- </w:t>
            </w:r>
            <w:r>
              <w:rPr>
                <w:lang w:val="vi-VN"/>
              </w:rPr>
              <w:t>Ô tô chở người từ 9 chỗ ngồi trở xuống chuyên kinh doanh vận tải hành khách, du lịch và khách sạn là các ô tô được đăng ký tên doanh nghiệp mà doanh nghiệp này trong Giấy chứng nhận đăng ký doanh nghiệp hoặc Giấy chứng nhận đăng ký kinh doanh có đăng ký một trong các ngành nghề: vận tải hành khách, du lịch, kinh doanh khách sạn và được cấp phép kinh doanh quy định tại các văn bản pháp luật về kinh doanh vận tải, hành khách, du lịch, khách sạn.</w:t>
            </w:r>
          </w:p>
          <w:p w:rsidR="00190632" w:rsidRDefault="00190632" w:rsidP="00190632">
            <w:pPr>
              <w:spacing w:before="120" w:after="120" w:line="360" w:lineRule="auto"/>
              <w:rPr>
                <w:rFonts w:ascii="Arial" w:hAnsi="Arial" w:cs="Arial"/>
                <w:sz w:val="20"/>
                <w:szCs w:val="20"/>
              </w:rPr>
            </w:pPr>
            <w:r>
              <w:rPr>
                <w:rFonts w:ascii="Arial" w:hAnsi="Arial" w:cs="Arial"/>
                <w:sz w:val="20"/>
                <w:szCs w:val="20"/>
              </w:rPr>
              <w:t xml:space="preserve">- </w:t>
            </w:r>
            <w:r>
              <w:rPr>
                <w:lang w:val="vi-VN"/>
              </w:rPr>
              <w:t>Tàu bay dân dụng và du thuyền không sử dụng cho mục đích kinh doanh vận chuyển hàng </w:t>
            </w:r>
            <w:r>
              <w:rPr>
                <w:shd w:val="clear" w:color="auto" w:fill="FFFFFF"/>
                <w:lang w:val="vi-VN"/>
              </w:rPr>
              <w:t>hóa</w:t>
            </w:r>
            <w:r>
              <w:rPr>
                <w:lang w:val="vi-VN"/>
              </w:rPr>
              <w:t>, hành khách, khách du lịch là tàu bay dân dụng, du thuyền của các doanh nghiệp đăng ký và hạch toán trích khấu hao tài sản cố định nhưng trong Giấy chứng nhận đăng ký kinh doanh hoặc Giấy chứng nhận đăng ký doanh nghiệp của doanh nghiệp không </w:t>
            </w:r>
            <w:r>
              <w:rPr>
                <w:shd w:val="clear" w:color="auto" w:fill="FFFFFF"/>
                <w:lang w:val="vi-VN"/>
              </w:rPr>
              <w:t>đăng ký</w:t>
            </w:r>
            <w:r>
              <w:rPr>
                <w:lang w:val="vi-VN"/>
              </w:rPr>
              <w:t> ngành nghề vận tải hàng </w:t>
            </w:r>
            <w:r>
              <w:rPr>
                <w:shd w:val="clear" w:color="auto" w:fill="FFFFFF"/>
                <w:lang w:val="vi-VN"/>
              </w:rPr>
              <w:t>hóa</w:t>
            </w:r>
            <w:r>
              <w:rPr>
                <w:lang w:val="vi-VN"/>
              </w:rPr>
              <w:t>, vận tải hành khách, du lịch.</w:t>
            </w:r>
          </w:p>
          <w:p w:rsidR="00190632" w:rsidRDefault="00190632" w:rsidP="00190632">
            <w:pPr>
              <w:spacing w:before="120" w:after="120" w:line="360" w:lineRule="auto"/>
              <w:rPr>
                <w:rFonts w:ascii="Arial" w:hAnsi="Arial" w:cs="Arial"/>
                <w:sz w:val="20"/>
                <w:szCs w:val="20"/>
              </w:rPr>
            </w:pPr>
            <w:r>
              <w:rPr>
                <w:rFonts w:ascii="Arial" w:hAnsi="Arial" w:cs="Arial"/>
                <w:sz w:val="20"/>
                <w:szCs w:val="20"/>
              </w:rPr>
              <w:t xml:space="preserve">- </w:t>
            </w:r>
            <w:r>
              <w:rPr>
                <w:lang w:val="vi-VN"/>
              </w:rPr>
              <w:t>Trường hợp doanh nghiệp có chuyển nhượng, thanh lý xe ô tô chở người từ 9 chỗ ngồi trở xuống thì giá trị còn lại của xe được xác định bằng nguyên giá thực mua tài sản cố định trừ (-) số khấu hao lũy kế của tài sản cố định đã tính vào chi phí hợp lý theo chuẩn mực kế toán, chế độ kế toán tính đến thời điểm chuyển nhượng, thanh lý xe.</w:t>
            </w:r>
          </w:p>
          <w:p w:rsidR="00190632" w:rsidRPr="004D40FF" w:rsidRDefault="00190632" w:rsidP="00190632">
            <w:pPr>
              <w:spacing w:before="120" w:after="120" w:line="360" w:lineRule="auto"/>
              <w:rPr>
                <w:rFonts w:ascii="Arial" w:hAnsi="Arial" w:cs="Arial"/>
                <w:i/>
                <w:sz w:val="20"/>
                <w:szCs w:val="20"/>
              </w:rPr>
            </w:pPr>
            <w:r w:rsidRPr="004D40FF">
              <w:rPr>
                <w:i/>
                <w:lang w:val="vi-VN"/>
              </w:rPr>
              <w:t>Ví dụ: Doanh nghiệp A có mua xe ô tô dưới 9 chỗ ngồi có nguyên giá là 6 tỷ đồng, công ty trích khấu hao 1 năm sau đó đem thanh lý. Số trích khấu hao theo chuẩn mực kế toán, chế độ kế toán là 1 tỷ đồng (thời gian trích khấu hao là 6 năm theo </w:t>
            </w:r>
            <w:r w:rsidRPr="004D40FF">
              <w:rPr>
                <w:i/>
                <w:shd w:val="clear" w:color="auto" w:fill="FFFFFF"/>
                <w:lang w:val="vi-VN"/>
              </w:rPr>
              <w:t>văn</w:t>
            </w:r>
            <w:r w:rsidRPr="004D40FF">
              <w:rPr>
                <w:i/>
                <w:lang w:val="vi-VN"/>
              </w:rPr>
              <w:t> bản về khấu hao TSCĐ). Số trích khấu hao theo chính sách thuế được tính vào chi phí được trừ là 1,6 tỷ đồng/6 năm = 267 triệu đồng. Doanh nghiệp A thanh lý bán xe là 5 tỷ đồng.</w:t>
            </w:r>
          </w:p>
          <w:p w:rsidR="00190632" w:rsidRPr="00DC1775" w:rsidRDefault="00190632" w:rsidP="00190632">
            <w:pPr>
              <w:spacing w:before="120" w:after="120" w:line="360" w:lineRule="auto"/>
              <w:rPr>
                <w:rFonts w:ascii="Arial" w:hAnsi="Arial" w:cs="Arial"/>
                <w:sz w:val="20"/>
                <w:szCs w:val="20"/>
              </w:rPr>
            </w:pPr>
            <w:r w:rsidRPr="004D40FF">
              <w:rPr>
                <w:i/>
                <w:lang w:val="vi-VN"/>
              </w:rPr>
              <w:t>Thu nhập từ thanh lý xe = 5 tỷ - (6 tỷ - 1 tỷ) = 0</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Default="00C72CEF" w:rsidP="00C72CEF">
            <w:pPr>
              <w:spacing w:before="120" w:after="120" w:line="360" w:lineRule="auto"/>
              <w:rPr>
                <w:rFonts w:ascii="Arial" w:hAnsi="Arial" w:cs="Arial"/>
                <w:sz w:val="20"/>
                <w:szCs w:val="20"/>
              </w:rPr>
            </w:pPr>
            <w:r w:rsidRPr="007A4898">
              <w:rPr>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w:t>
            </w:r>
            <w:r w:rsidRPr="007A4898">
              <w:t>Quyền sử dụng đất lâu dài không được trích khấu hao và phân bổ vào chi phí được trừ khi xác định thu nhập chịu thuế</w:t>
            </w:r>
            <w:r>
              <w:t>.</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BB7A88" w:rsidRDefault="00C72CEF" w:rsidP="00C72CEF">
            <w:pPr>
              <w:spacing w:before="120" w:after="120" w:line="360" w:lineRule="auto"/>
              <w:rPr>
                <w:rFonts w:ascii="Arial" w:hAnsi="Arial" w:cs="Arial"/>
                <w:sz w:val="20"/>
                <w:szCs w:val="20"/>
              </w:rPr>
            </w:pPr>
            <w:r>
              <w:rPr>
                <w:rFonts w:ascii="Arial" w:hAnsi="Arial" w:cs="Arial"/>
                <w:sz w:val="20"/>
                <w:szCs w:val="20"/>
              </w:rPr>
              <w:t xml:space="preserve">- </w:t>
            </w:r>
            <w:r w:rsidRPr="00DC1775">
              <w:rPr>
                <w:rFonts w:ascii="Arial" w:hAnsi="Arial" w:cs="Arial"/>
                <w:sz w:val="20"/>
                <w:szCs w:val="20"/>
              </w:rPr>
              <w:t>Khấu hao đối với công trình trên đất vừa sử dụng cho sản xuất kinh doanh vừa sử dụng cho mục đích khác thì không được tính khấu hao vào chi phí được trừ đối với giá trị công trình trên đất tương ứng phần diện tích không sử dụng vào hoạt động sản xuất kinh doanh.</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3</w:t>
            </w:r>
          </w:p>
        </w:tc>
        <w:tc>
          <w:tcPr>
            <w:tcW w:w="2552"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Chi nguyên liệu, vật liệu, nhiên liệu, năng lượng, hàng hóa phần vượt mức tiêu hao hợp lý.</w:t>
            </w: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 xml:space="preserve">Phần chi vượt định mức tiêu hao nguyên liệu, vật liệu, nhiên liệu, năng lượng, hàng hoá đối với một số nguyên liệu, vật liệu, nhiên liệu, năng lượng, hàng hóa đã được </w:t>
            </w:r>
            <w:r w:rsidRPr="00A554D3">
              <w:rPr>
                <w:rFonts w:ascii="Arial" w:hAnsi="Arial" w:cs="Arial"/>
                <w:sz w:val="20"/>
                <w:szCs w:val="20"/>
              </w:rPr>
              <w:t>Nhà nước ban hành định mức</w:t>
            </w:r>
            <w:r w:rsidRPr="00DC1775">
              <w:rPr>
                <w:rFonts w:ascii="Arial" w:hAnsi="Arial" w:cs="Arial"/>
                <w:sz w:val="20"/>
                <w:szCs w:val="20"/>
              </w:rPr>
              <w:t>.</w:t>
            </w:r>
          </w:p>
        </w:tc>
      </w:tr>
      <w:tr w:rsidR="00C72CEF" w:rsidRPr="00DC1775" w:rsidTr="00190632">
        <w:trPr>
          <w:gridAfter w:val="1"/>
          <w:wAfter w:w="6349" w:type="dxa"/>
        </w:trPr>
        <w:tc>
          <w:tcPr>
            <w:tcW w:w="675" w:type="dxa"/>
            <w:vMerge w:val="restart"/>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4</w:t>
            </w:r>
          </w:p>
        </w:tc>
        <w:tc>
          <w:tcPr>
            <w:tcW w:w="2552" w:type="dxa"/>
            <w:vMerge w:val="restart"/>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Chi phí của doanh nghiệp mua hàng hóa, dịch vụ (không có hóa đơn, được phép lập Bảng kê thu mua hàng hóa, dịch vụ mua vào) nhưng không lập Bảng kê kèm theo chứng từ thanh toán cho người bán hàng, cung cấp dịch vụ</w:t>
            </w: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Mua hàng hóa là nông, lâm, thủy sản của người sản xuất, đánh bắt trực tiếp bán ra</w:t>
            </w:r>
            <w:r>
              <w:rPr>
                <w:rFonts w:ascii="Arial" w:hAnsi="Arial" w:cs="Arial"/>
                <w:sz w:val="20"/>
                <w:szCs w:val="20"/>
              </w:rPr>
              <w:t>.</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Mua sản phẩm thủ công làm bằng đay, cói, tre, nứa, lá, song, mây, rơm, vỏ dừa, sọ dừa hoặc nguyên liệu tận dụng từ sản phẩm nông nghiệp của người sản xuất thủ công không kinh doanh trực tiếp bán ra</w:t>
            </w:r>
            <w:r>
              <w:rPr>
                <w:rFonts w:ascii="Arial" w:hAnsi="Arial" w:cs="Arial"/>
                <w:sz w:val="20"/>
                <w:szCs w:val="20"/>
              </w:rPr>
              <w:t>.</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Mua đất, đá, cát, sỏi của hộ, cá nhân tự khai thác trực tiếp bán ra</w:t>
            </w:r>
            <w:r>
              <w:rPr>
                <w:rFonts w:ascii="Arial" w:hAnsi="Arial" w:cs="Arial"/>
                <w:sz w:val="20"/>
                <w:szCs w:val="20"/>
              </w:rPr>
              <w:t>.</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Mua phế liệu của người trực tiếp thu nhặt</w:t>
            </w:r>
            <w:r>
              <w:rPr>
                <w:rFonts w:ascii="Arial" w:hAnsi="Arial" w:cs="Arial"/>
                <w:sz w:val="20"/>
                <w:szCs w:val="20"/>
              </w:rPr>
              <w:t>.</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Mua tài sản, dịch vụ của hộ, cá nhân không kinh doanh trực tiếp bán ra</w:t>
            </w:r>
            <w:r>
              <w:rPr>
                <w:rFonts w:ascii="Arial" w:hAnsi="Arial" w:cs="Arial"/>
                <w:sz w:val="20"/>
                <w:szCs w:val="20"/>
              </w:rPr>
              <w:t>.</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 xml:space="preserve">Mua hàng hóa, dịch vụ của cá nhân, hộ kinh doanh (không bao gồm các trường hợp nêu trên) </w:t>
            </w:r>
            <w:r w:rsidRPr="00A554D3">
              <w:rPr>
                <w:rFonts w:ascii="Arial" w:hAnsi="Arial" w:cs="Arial"/>
                <w:sz w:val="20"/>
                <w:szCs w:val="20"/>
              </w:rPr>
              <w:t>có mức doanh thu dưới ngưỡng doanh thu chịu thuế giá trị gia tăng (100 triệu đồng/năm)</w:t>
            </w:r>
            <w:r>
              <w:rPr>
                <w:rFonts w:ascii="Arial" w:hAnsi="Arial" w:cs="Arial"/>
                <w:sz w:val="20"/>
                <w:szCs w:val="20"/>
              </w:rPr>
              <w:t>.</w:t>
            </w:r>
          </w:p>
        </w:tc>
      </w:tr>
      <w:tr w:rsidR="00C72CEF" w:rsidRPr="00DC1775" w:rsidTr="00190632">
        <w:trPr>
          <w:gridAfter w:val="1"/>
          <w:wAfter w:w="6349" w:type="dxa"/>
        </w:trPr>
        <w:tc>
          <w:tcPr>
            <w:tcW w:w="675" w:type="dxa"/>
            <w:vMerge w:val="restart"/>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5</w:t>
            </w:r>
          </w:p>
        </w:tc>
        <w:tc>
          <w:tcPr>
            <w:tcW w:w="2552" w:type="dxa"/>
            <w:vMerge w:val="restart"/>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Chi tiền thuê tài sản của cá nhân không có đầy đủ hồ sơ, chứng từ</w:t>
            </w: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 xml:space="preserve">Doanh nghiệp thuê tài sản của cá nhân nhưng </w:t>
            </w:r>
            <w:r w:rsidRPr="00A554D3">
              <w:rPr>
                <w:rFonts w:ascii="Arial" w:hAnsi="Arial" w:cs="Arial"/>
                <w:sz w:val="20"/>
                <w:szCs w:val="20"/>
              </w:rPr>
              <w:t>không có</w:t>
            </w:r>
            <w:r w:rsidRPr="00DC1775">
              <w:rPr>
                <w:rFonts w:ascii="Arial" w:hAnsi="Arial" w:cs="Arial"/>
                <w:sz w:val="20"/>
                <w:szCs w:val="20"/>
              </w:rPr>
              <w:t xml:space="preserve"> hợp đồng thuê tài sản và chứng từ trả tiền thuê tài sản.</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 xml:space="preserve">Doanh nghiệp thuê tài sản của cá nhân mà tại hợp đồng thuê tài sản có thoả thuận doanh nghiệp nộp thuế thay cho cá nhân nhưng </w:t>
            </w:r>
            <w:r w:rsidRPr="00A554D3">
              <w:rPr>
                <w:rFonts w:ascii="Arial" w:hAnsi="Arial" w:cs="Arial"/>
                <w:sz w:val="20"/>
                <w:szCs w:val="20"/>
              </w:rPr>
              <w:t>không có</w:t>
            </w:r>
            <w:r w:rsidRPr="00DC1775">
              <w:rPr>
                <w:rFonts w:ascii="Arial" w:hAnsi="Arial" w:cs="Arial"/>
                <w:sz w:val="20"/>
                <w:szCs w:val="20"/>
              </w:rPr>
              <w:t xml:space="preserve"> hợp đồng thuê tài sản, chứng từ trả tiền thuê tài sản và chứng từ nộp thuế thay cho cá nhân.</w:t>
            </w:r>
          </w:p>
        </w:tc>
      </w:tr>
      <w:tr w:rsidR="00C72CEF" w:rsidRPr="00DC1775" w:rsidTr="00190632">
        <w:trPr>
          <w:gridAfter w:val="1"/>
          <w:wAfter w:w="6349" w:type="dxa"/>
        </w:trPr>
        <w:tc>
          <w:tcPr>
            <w:tcW w:w="675" w:type="dxa"/>
            <w:vMerge w:val="restart"/>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6</w:t>
            </w:r>
          </w:p>
        </w:tc>
        <w:tc>
          <w:tcPr>
            <w:tcW w:w="2552" w:type="dxa"/>
            <w:vMerge w:val="restart"/>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Chi tiền lương, tiền công, tiền thưởng cho người lao động</w:t>
            </w: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Chi tiền lương, tiền công và các khoản phải trả khác cho người lao động (NLĐ) doanh nghiệp đã hạch toán vào chi phí sản xuất kinh doanh trong kỳ nhưng thực tế không chi trả hoặc không có chứng từ thanh toán theo quy định của pháp luật.</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Các khoản tiền lương, tiền thưởng, chi mua bảo hiểm nhân thọ cho NLĐ không được ghi cụ thể điều kiện được hưởng và mức được hưởng tại một trong các hồ sơ sau: Hợp đồng lao động; Thoả ước lao động tập thể; Quy chế tài chính của Công ty, Tổng công ty, Tập đoàn; Quy chế thưởng do Chủ tịch Hội đồng quản trị, Tổng giám đốc, Giám đốc quy định theo quy chế tài chính của Công ty, Tổng công ty.</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Default="00C72CEF" w:rsidP="00C72CEF">
            <w:pPr>
              <w:spacing w:before="120" w:after="120" w:line="360" w:lineRule="auto"/>
              <w:rPr>
                <w:rFonts w:ascii="Arial" w:hAnsi="Arial" w:cs="Arial"/>
                <w:sz w:val="20"/>
                <w:szCs w:val="20"/>
              </w:rPr>
            </w:pPr>
            <w:r>
              <w:rPr>
                <w:rFonts w:ascii="Arial" w:hAnsi="Arial" w:cs="Arial"/>
                <w:sz w:val="20"/>
                <w:szCs w:val="20"/>
              </w:rPr>
              <w:t xml:space="preserve">- </w:t>
            </w:r>
            <w:r w:rsidRPr="00DC1775">
              <w:rPr>
                <w:rFonts w:ascii="Arial" w:hAnsi="Arial" w:cs="Arial"/>
                <w:sz w:val="20"/>
                <w:szCs w:val="20"/>
              </w:rPr>
              <w:t>Chi tiền lương, tiền công và các khoản phụ cấp phải trả cho NLĐ nhưng hết thời hạn nộp hồ sơ quyết toán thuế năm thực tế chưa chi trừ trường hợp doanh nghiệp có trích lập quỹ dự phòng để bổ sung vào quỹ tiền lương của năm sau liền kề. Mức dự phòng hàng năm do doanh nghiệp quyết định nhưng không quá 17% quỹ tiền lương thực hiện.</w:t>
            </w:r>
          </w:p>
          <w:p w:rsidR="00C72CEF" w:rsidRDefault="00C72CEF" w:rsidP="00C72CEF">
            <w:pPr>
              <w:spacing w:before="120" w:after="120" w:line="360" w:lineRule="auto"/>
              <w:rPr>
                <w:rFonts w:ascii="Arial" w:hAnsi="Arial" w:cs="Arial"/>
                <w:sz w:val="20"/>
                <w:szCs w:val="20"/>
              </w:rPr>
            </w:pPr>
            <w:r w:rsidRPr="007803CD">
              <w:rPr>
                <w:rFonts w:ascii="Arial" w:hAnsi="Arial" w:cs="Arial"/>
                <w:sz w:val="20"/>
                <w:szCs w:val="20"/>
                <w:lang w:val="am-ET"/>
              </w:rPr>
              <w:t>-</w:t>
            </w:r>
            <w:r>
              <w:rPr>
                <w:lang w:val="am-ET"/>
              </w:rPr>
              <w:t xml:space="preserve"> </w:t>
            </w:r>
            <w:r w:rsidRPr="007803CD">
              <w:rPr>
                <w:lang w:val="am-ET"/>
              </w:rPr>
              <w:t>Quỹ tiền lương thực hiện là tổng số tiền lương thực tế đã chi trả của năm quyết toán đó đến thời hạn cuối cùng nộp hồ sơ quyết toán theo quy định (không bao gồm số tiền trích lập quỹ dự phòng tiền lương của năm trước chi trong năm quyết toán thuế).</w:t>
            </w:r>
          </w:p>
          <w:p w:rsidR="00C72CEF" w:rsidRDefault="00C72CEF" w:rsidP="00C72CEF">
            <w:pPr>
              <w:spacing w:before="120" w:after="120" w:line="360" w:lineRule="auto"/>
              <w:rPr>
                <w:rFonts w:ascii="Arial" w:hAnsi="Arial" w:cs="Arial"/>
                <w:sz w:val="20"/>
                <w:szCs w:val="20"/>
              </w:rPr>
            </w:pPr>
            <w:r>
              <w:rPr>
                <w:rFonts w:ascii="Arial" w:hAnsi="Arial" w:cs="Arial"/>
                <w:sz w:val="20"/>
                <w:szCs w:val="20"/>
              </w:rPr>
              <w:t xml:space="preserve">- </w:t>
            </w:r>
            <w:r>
              <w:rPr>
                <w:lang w:val="am-ET"/>
              </w:rPr>
              <w:t>Việc trích lập dự phòng tiền lương phải đảm bảo sau khi trích lập, doanh nghiệp không bị lỗ, nếu doanh nghiệp bị lỗ thì không được trích đủ 17%.</w:t>
            </w:r>
          </w:p>
          <w:p w:rsidR="00C72CEF" w:rsidRDefault="00C72CEF" w:rsidP="00C72CEF">
            <w:pPr>
              <w:spacing w:before="120" w:after="120" w:line="360" w:lineRule="auto"/>
              <w:rPr>
                <w:rFonts w:ascii="Arial" w:hAnsi="Arial" w:cs="Arial"/>
                <w:sz w:val="20"/>
                <w:szCs w:val="20"/>
              </w:rPr>
            </w:pPr>
            <w:r>
              <w:rPr>
                <w:rFonts w:ascii="Arial" w:hAnsi="Arial" w:cs="Arial"/>
                <w:sz w:val="20"/>
                <w:szCs w:val="20"/>
              </w:rPr>
              <w:t xml:space="preserve">- </w:t>
            </w:r>
            <w:r>
              <w:rPr>
                <w:lang w:val="am-ET"/>
              </w:rPr>
              <w:t>Trường hợp năm trước doanh nghiệp có trích lập quỹ dự phòng tiền lương mà sau 6 tháng, kể từ ngày kết thúc năm tài chính doanh nghiệp chưa sử dụng hoặc sử dụng không hết quỹ dự phòng tiền lương thì doanh nghiệp phải tính giảm chi phí của năm sau.</w:t>
            </w:r>
          </w:p>
          <w:p w:rsidR="00C72CEF" w:rsidRPr="00DC1775" w:rsidRDefault="00C72CEF" w:rsidP="00C72CEF">
            <w:pPr>
              <w:spacing w:before="120" w:after="120" w:line="360" w:lineRule="auto"/>
              <w:rPr>
                <w:rFonts w:ascii="Arial" w:hAnsi="Arial" w:cs="Arial"/>
                <w:sz w:val="20"/>
                <w:szCs w:val="20"/>
              </w:rPr>
            </w:pPr>
            <w:r>
              <w:rPr>
                <w:rFonts w:ascii="Arial" w:hAnsi="Arial" w:cs="Arial"/>
                <w:sz w:val="20"/>
                <w:szCs w:val="20"/>
              </w:rPr>
              <w:t xml:space="preserve">- </w:t>
            </w:r>
            <w:r w:rsidRPr="007803CD">
              <w:rPr>
                <w:i/>
              </w:rPr>
              <w:t>V</w:t>
            </w:r>
            <w:r w:rsidRPr="007803CD">
              <w:rPr>
                <w:i/>
                <w:lang w:val="am-ET"/>
              </w:rPr>
              <w:t>í dụ 9: Khi nộp hồ sơ quyết toán thuế năm 2014, DN A có trích quỹ dự phòng tiền lương là 10 tỷ đồng, đến ngày 30/06/2015 (đối với trường hợp doanh nghiệp áp dụng kỳ tính thuế theo năm dương lịch), DN A mới chi số tiền từ quỹ dự phòng tiền lương năm 2014 là 7 tỷ đồng thì DN A phải tính giảm chi phí tiền lương năm sau (năm 2015) là 3 tỷ đồng (10 tỷ – 7 tỷ). Khi lập hồ sơ quyết toán năm 2015 nếu DN A có nhu cầu trích lập thì tiếp tục trích lập quỹ dự phòng tiền lương theo quy định.</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Tiền lương, tiền công của chủ doanh nghiệp tư nhân, chủ công ty trách nhiệm hữu hạn một thành viên (do một cá nhân làm chủ); thù lao trả cho các sáng lập viên, thành viên của hội đồng thành viên, hội đồng quản trị mà những người này không trực tiếp tham gia điều hành sản xuất, kinh doanh.</w:t>
            </w:r>
          </w:p>
        </w:tc>
      </w:tr>
      <w:tr w:rsidR="00C72CEF" w:rsidRPr="00DC1775" w:rsidTr="00190632">
        <w:trPr>
          <w:gridAfter w:val="1"/>
          <w:wAfter w:w="6349" w:type="dxa"/>
        </w:trPr>
        <w:tc>
          <w:tcPr>
            <w:tcW w:w="675" w:type="dxa"/>
            <w:vMerge w:val="restart"/>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7</w:t>
            </w:r>
          </w:p>
        </w:tc>
        <w:tc>
          <w:tcPr>
            <w:tcW w:w="2552" w:type="dxa"/>
            <w:vMerge w:val="restart"/>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Chi trang phục</w:t>
            </w: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 xml:space="preserve">Chi bằng hiện vật cho người lao động không có hóa </w:t>
            </w:r>
            <w:proofErr w:type="gramStart"/>
            <w:r w:rsidRPr="00DC1775">
              <w:rPr>
                <w:rFonts w:ascii="Arial" w:hAnsi="Arial" w:cs="Arial"/>
                <w:sz w:val="20"/>
                <w:szCs w:val="20"/>
              </w:rPr>
              <w:t>đơn,</w:t>
            </w:r>
            <w:proofErr w:type="gramEnd"/>
            <w:r w:rsidRPr="00DC1775">
              <w:rPr>
                <w:rFonts w:ascii="Arial" w:hAnsi="Arial" w:cs="Arial"/>
                <w:sz w:val="20"/>
                <w:szCs w:val="20"/>
              </w:rPr>
              <w:t xml:space="preserve"> chứng từ</w:t>
            </w:r>
            <w:r>
              <w:rPr>
                <w:rFonts w:ascii="Arial" w:hAnsi="Arial" w:cs="Arial"/>
                <w:sz w:val="20"/>
                <w:szCs w:val="20"/>
              </w:rPr>
              <w:t>.</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 xml:space="preserve">Chi bằng tiền cho người lao động vượt quá </w:t>
            </w:r>
            <w:proofErr w:type="gramStart"/>
            <w:r w:rsidRPr="00DC1775">
              <w:rPr>
                <w:rFonts w:ascii="Arial" w:hAnsi="Arial" w:cs="Arial"/>
                <w:sz w:val="20"/>
                <w:szCs w:val="20"/>
              </w:rPr>
              <w:t>05 (năm) triệu đồng/người/năm</w:t>
            </w:r>
            <w:proofErr w:type="gramEnd"/>
            <w:r w:rsidRPr="00DC1775">
              <w:rPr>
                <w:rFonts w:ascii="Arial" w:hAnsi="Arial" w:cs="Arial"/>
                <w:sz w:val="20"/>
                <w:szCs w:val="20"/>
              </w:rPr>
              <w:t>.</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8</w:t>
            </w:r>
          </w:p>
        </w:tc>
        <w:tc>
          <w:tcPr>
            <w:tcW w:w="2552"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Chi thưởng sáng kiến, cải tiến</w:t>
            </w: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Doanh nghiệp không có quy chế quy định cụ thể về việc chi thưởng sáng kiến, cải tiến, không có hội đồng nghiệm thu sáng kiến, cải tiến.</w:t>
            </w:r>
          </w:p>
        </w:tc>
      </w:tr>
      <w:tr w:rsidR="00C72CEF" w:rsidRPr="00DC1775" w:rsidTr="00190632">
        <w:trPr>
          <w:gridAfter w:val="1"/>
          <w:wAfter w:w="6349" w:type="dxa"/>
        </w:trPr>
        <w:tc>
          <w:tcPr>
            <w:tcW w:w="675" w:type="dxa"/>
            <w:vMerge w:val="restart"/>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9</w:t>
            </w:r>
          </w:p>
        </w:tc>
        <w:tc>
          <w:tcPr>
            <w:tcW w:w="2552" w:type="dxa"/>
            <w:vMerge w:val="restart"/>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Chi phụ cấp tàu xe đi nghỉ phép không đúng theo quy định của Bộ Luật Lao động.</w:t>
            </w: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 xml:space="preserve">Không có đầy đủ hóa </w:t>
            </w:r>
            <w:proofErr w:type="gramStart"/>
            <w:r w:rsidRPr="00DC1775">
              <w:rPr>
                <w:rFonts w:ascii="Arial" w:hAnsi="Arial" w:cs="Arial"/>
                <w:sz w:val="20"/>
                <w:szCs w:val="20"/>
              </w:rPr>
              <w:t>đơn,</w:t>
            </w:r>
            <w:proofErr w:type="gramEnd"/>
            <w:r w:rsidRPr="00DC1775">
              <w:rPr>
                <w:rFonts w:ascii="Arial" w:hAnsi="Arial" w:cs="Arial"/>
                <w:sz w:val="20"/>
                <w:szCs w:val="20"/>
              </w:rPr>
              <w:t xml:space="preserve"> chứng từ</w:t>
            </w:r>
            <w:r>
              <w:rPr>
                <w:rFonts w:ascii="Arial" w:hAnsi="Arial" w:cs="Arial"/>
                <w:sz w:val="20"/>
                <w:szCs w:val="20"/>
              </w:rPr>
              <w:t>.</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Thực hiện không đúng theo quy chế tài chính hoặc quy chế nội bộ của doanh nghiệp khi khoán tiền đi lại, tiền ở, phụ cấp cho người lao động đi công tác</w:t>
            </w:r>
            <w:r>
              <w:rPr>
                <w:rFonts w:ascii="Arial" w:hAnsi="Arial" w:cs="Arial"/>
                <w:sz w:val="20"/>
                <w:szCs w:val="20"/>
              </w:rPr>
              <w:t>.</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Default="00C72CEF" w:rsidP="00C72CEF">
            <w:pPr>
              <w:shd w:val="clear" w:color="auto" w:fill="FFFFFF"/>
              <w:spacing w:after="120"/>
              <w:rPr>
                <w:rFonts w:ascii="Arial" w:eastAsia="Times New Roman" w:hAnsi="Arial" w:cs="Arial"/>
                <w:color w:val="000000"/>
                <w:sz w:val="21"/>
                <w:szCs w:val="21"/>
              </w:rPr>
            </w:pPr>
            <w:r w:rsidRPr="007C4A3B">
              <w:rPr>
                <w:rFonts w:ascii="Arial" w:eastAsia="Times New Roman" w:hAnsi="Arial" w:cs="Arial"/>
                <w:color w:val="000000"/>
                <w:sz w:val="21"/>
                <w:szCs w:val="21"/>
                <w:lang w:val="am-ET"/>
              </w:rPr>
              <w:t xml:space="preserve">Trường hợp doanh nghiệp cử người lao động đi công tác (bao gồm công tác trong nước và công tác nước ngoài) nếu có phát sinh chi phí từ 20 triệu đồng trở lên, chi phí mua vé máy bay mà các khoản chi phí này được thanh toán bằng thẻ ngân hàng của cá nhân thì </w:t>
            </w:r>
            <w:r>
              <w:rPr>
                <w:rFonts w:ascii="Arial" w:eastAsia="Times New Roman" w:hAnsi="Arial" w:cs="Arial"/>
                <w:color w:val="000000"/>
                <w:sz w:val="21"/>
                <w:szCs w:val="21"/>
              </w:rPr>
              <w:t xml:space="preserve">không </w:t>
            </w:r>
            <w:r>
              <w:rPr>
                <w:rFonts w:ascii="Arial" w:eastAsia="Times New Roman" w:hAnsi="Arial" w:cs="Arial"/>
                <w:color w:val="000000"/>
                <w:sz w:val="21"/>
                <w:szCs w:val="21"/>
                <w:lang w:val="am-ET"/>
              </w:rPr>
              <w:t>được t</w:t>
            </w:r>
            <w:r>
              <w:rPr>
                <w:rFonts w:ascii="Arial" w:eastAsia="Times New Roman" w:hAnsi="Arial" w:cs="Arial"/>
                <w:color w:val="000000"/>
                <w:sz w:val="21"/>
                <w:szCs w:val="21"/>
              </w:rPr>
              <w:t>rừ nếu không đáp ứng đủ các điều kiện sau đây:</w:t>
            </w:r>
          </w:p>
          <w:p w:rsidR="00C72CEF" w:rsidRPr="007C4A3B" w:rsidRDefault="00C72CEF" w:rsidP="00C72CEF">
            <w:pPr>
              <w:pStyle w:val="ListParagraph"/>
              <w:numPr>
                <w:ilvl w:val="0"/>
                <w:numId w:val="16"/>
              </w:numPr>
              <w:shd w:val="clear" w:color="auto" w:fill="FFFFFF"/>
              <w:spacing w:after="120"/>
              <w:rPr>
                <w:rFonts w:ascii="Arial" w:eastAsia="Times New Roman" w:hAnsi="Arial" w:cs="Arial"/>
                <w:color w:val="000000"/>
                <w:sz w:val="21"/>
                <w:szCs w:val="21"/>
              </w:rPr>
            </w:pPr>
            <w:r w:rsidRPr="007C4A3B">
              <w:rPr>
                <w:rFonts w:ascii="Arial" w:eastAsia="Times New Roman" w:hAnsi="Arial" w:cs="Arial"/>
                <w:color w:val="000000"/>
                <w:sz w:val="21"/>
                <w:szCs w:val="21"/>
                <w:lang w:val="am-ET"/>
              </w:rPr>
              <w:t xml:space="preserve">Có hóa đơn, chứng từ phù hợp do người cung </w:t>
            </w:r>
            <w:r>
              <w:rPr>
                <w:rFonts w:ascii="Arial" w:eastAsia="Times New Roman" w:hAnsi="Arial" w:cs="Arial"/>
                <w:color w:val="000000"/>
                <w:sz w:val="21"/>
                <w:szCs w:val="21"/>
                <w:lang w:val="am-ET"/>
              </w:rPr>
              <w:t>cấp hàng hóa, dịch vụ giao xuất</w:t>
            </w:r>
            <w:r>
              <w:rPr>
                <w:rFonts w:ascii="Arial" w:eastAsia="Times New Roman" w:hAnsi="Arial" w:cs="Arial"/>
                <w:color w:val="000000"/>
                <w:sz w:val="21"/>
                <w:szCs w:val="21"/>
              </w:rPr>
              <w:t>;</w:t>
            </w:r>
          </w:p>
          <w:p w:rsidR="00C72CEF" w:rsidRPr="007C4A3B" w:rsidRDefault="00C72CEF" w:rsidP="00C72CEF">
            <w:pPr>
              <w:pStyle w:val="ListParagraph"/>
              <w:numPr>
                <w:ilvl w:val="0"/>
                <w:numId w:val="16"/>
              </w:numPr>
              <w:shd w:val="clear" w:color="auto" w:fill="FFFFFF"/>
              <w:spacing w:after="120"/>
              <w:rPr>
                <w:rFonts w:ascii="Arial" w:eastAsia="Times New Roman" w:hAnsi="Arial" w:cs="Arial"/>
                <w:color w:val="000000"/>
                <w:sz w:val="21"/>
                <w:szCs w:val="21"/>
              </w:rPr>
            </w:pPr>
            <w:r w:rsidRPr="007C4A3B">
              <w:rPr>
                <w:rFonts w:ascii="Arial" w:eastAsia="Times New Roman" w:hAnsi="Arial" w:cs="Arial"/>
                <w:color w:val="000000"/>
                <w:sz w:val="21"/>
                <w:szCs w:val="21"/>
                <w:lang w:val="am-ET"/>
              </w:rPr>
              <w:t>Doanh nghiệp có quyết định hoặc văn bả</w:t>
            </w:r>
            <w:r>
              <w:rPr>
                <w:rFonts w:ascii="Arial" w:eastAsia="Times New Roman" w:hAnsi="Arial" w:cs="Arial"/>
                <w:color w:val="000000"/>
                <w:sz w:val="21"/>
                <w:szCs w:val="21"/>
                <w:lang w:val="am-ET"/>
              </w:rPr>
              <w:t>n cử người lao động đi công tác</w:t>
            </w:r>
            <w:r>
              <w:rPr>
                <w:rFonts w:ascii="Arial" w:eastAsia="Times New Roman" w:hAnsi="Arial" w:cs="Arial"/>
                <w:color w:val="000000"/>
                <w:sz w:val="21"/>
                <w:szCs w:val="21"/>
              </w:rPr>
              <w:t>;</w:t>
            </w:r>
          </w:p>
          <w:p w:rsidR="00C72CEF" w:rsidRPr="007C4A3B" w:rsidRDefault="00C72CEF" w:rsidP="00C72CEF">
            <w:pPr>
              <w:pStyle w:val="ListParagraph"/>
              <w:numPr>
                <w:ilvl w:val="0"/>
                <w:numId w:val="16"/>
              </w:numPr>
              <w:shd w:val="clear" w:color="auto" w:fill="FFFFFF"/>
              <w:spacing w:after="120"/>
              <w:rPr>
                <w:rFonts w:ascii="Arial" w:eastAsia="Times New Roman" w:hAnsi="Arial" w:cs="Arial"/>
                <w:color w:val="000000"/>
                <w:sz w:val="21"/>
                <w:szCs w:val="21"/>
              </w:rPr>
            </w:pPr>
            <w:r w:rsidRPr="007C4A3B">
              <w:rPr>
                <w:rFonts w:ascii="Arial" w:eastAsia="Times New Roman" w:hAnsi="Arial" w:cs="Arial"/>
                <w:color w:val="000000"/>
                <w:sz w:val="21"/>
                <w:szCs w:val="21"/>
                <w:lang w:val="am-ET"/>
              </w:rPr>
              <w:t>Quy chế tài chính hoặc quy chế nội bộ của doanh nghiệp cho phép người lao động được phép thanh toán khoản công tác phí, mua vé máy bay bằng thẻ ngân hàng do cá nhân là chủ thẻ và khoản chi này sau đó được doanh nghiệp thanh toán lại cho người lao động.</w:t>
            </w:r>
          </w:p>
          <w:p w:rsidR="00C72CEF" w:rsidRPr="007C4A3B" w:rsidRDefault="00C72CEF" w:rsidP="00C72CEF">
            <w:pPr>
              <w:shd w:val="clear" w:color="auto" w:fill="FFFFFF"/>
              <w:spacing w:after="120"/>
              <w:rPr>
                <w:rFonts w:ascii="Arial" w:eastAsia="Times New Roman" w:hAnsi="Arial" w:cs="Arial"/>
                <w:color w:val="333333"/>
                <w:sz w:val="21"/>
                <w:szCs w:val="21"/>
              </w:rPr>
            </w:pPr>
            <w:r w:rsidRPr="007C4A3B">
              <w:rPr>
                <w:rFonts w:ascii="Arial" w:eastAsia="Times New Roman" w:hAnsi="Arial" w:cs="Arial"/>
                <w:color w:val="000000"/>
                <w:sz w:val="21"/>
                <w:szCs w:val="21"/>
                <w:lang w:val="am-ET"/>
              </w:rPr>
              <w:t>Trường hợp doanh nghiệp có mua vé máy bay qua website thương mại điện tử cho người lao động đi công tác để phục vụ hoạt động sản xuất kinh doanh của doanh nghiệp thì chứng từ làm căn cứ để tính vào chi phí được trừ là vé máy bay điện tử, thẻ lên máy bay (boarding pass) và chứng từ thanh toán không dùng tiền mặt của doanh nghiệp có cá nhân tham gia hành trình vận chuyển. Trường hợp doanh nghiệp không thu hồi được thẻ lên máy bay của người lao động thì chứng từ làm căn cứ để tính vào chi phí được trừ là vé máy bay điện tử, quyết định hoặc văn bản cử người lao động đi công tác và chứng từ thanh toán không dùng tiền mặt của doanh nghiệp có cá nhân tham gia hành trình vận chuyển.</w:t>
            </w:r>
          </w:p>
        </w:tc>
      </w:tr>
      <w:tr w:rsidR="00C72CEF" w:rsidRPr="00DC1775" w:rsidTr="00190632">
        <w:trPr>
          <w:gridAfter w:val="1"/>
          <w:wAfter w:w="6349" w:type="dxa"/>
        </w:trPr>
        <w:tc>
          <w:tcPr>
            <w:tcW w:w="675" w:type="dxa"/>
            <w:vMerge w:val="restart"/>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10</w:t>
            </w:r>
          </w:p>
        </w:tc>
        <w:tc>
          <w:tcPr>
            <w:tcW w:w="2552" w:type="dxa"/>
            <w:vMerge w:val="restart"/>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Các khoản chi được trừ nhưng chi không đúng đối tượng, không đúng mục đích hoặc mức chi vượt quá quy định.</w:t>
            </w:r>
          </w:p>
        </w:tc>
        <w:tc>
          <w:tcPr>
            <w:tcW w:w="6349" w:type="dxa"/>
            <w:vAlign w:val="center"/>
          </w:tcPr>
          <w:p w:rsidR="00C72CEF" w:rsidRDefault="00C72CEF" w:rsidP="00C72CEF">
            <w:pPr>
              <w:spacing w:before="120" w:after="120" w:line="360" w:lineRule="auto"/>
              <w:rPr>
                <w:rFonts w:ascii="Arial" w:hAnsi="Arial" w:cs="Arial"/>
                <w:sz w:val="20"/>
                <w:szCs w:val="20"/>
              </w:rPr>
            </w:pPr>
            <w:r w:rsidRPr="00ED02DE">
              <w:rPr>
                <w:rFonts w:ascii="Arial" w:hAnsi="Arial" w:cs="Arial"/>
                <w:sz w:val="20"/>
                <w:szCs w:val="20"/>
              </w:rPr>
              <w:t>-</w:t>
            </w:r>
            <w:r>
              <w:rPr>
                <w:rFonts w:ascii="Arial" w:hAnsi="Arial" w:cs="Arial"/>
                <w:sz w:val="20"/>
                <w:szCs w:val="20"/>
              </w:rPr>
              <w:t xml:space="preserve"> </w:t>
            </w:r>
            <w:r w:rsidRPr="00ED02DE">
              <w:rPr>
                <w:rFonts w:ascii="Arial" w:hAnsi="Arial" w:cs="Arial"/>
                <w:sz w:val="20"/>
                <w:szCs w:val="20"/>
              </w:rPr>
              <w:t>Chi cho công tác đào tạo lại nghề cho lao động nữ trong trường hợp nghề cũ không còn phù hợp phải chuyển đổi sang nghề khác theo quy hoạch phát triển của doanh nghiệp.</w:t>
            </w:r>
          </w:p>
          <w:p w:rsidR="00C72CEF" w:rsidRPr="00ED02DE" w:rsidRDefault="00C72CEF" w:rsidP="00C72CEF">
            <w:pPr>
              <w:spacing w:before="120" w:after="120" w:line="360" w:lineRule="auto"/>
              <w:rPr>
                <w:rFonts w:ascii="Arial" w:hAnsi="Arial" w:cs="Arial"/>
                <w:sz w:val="20"/>
                <w:szCs w:val="20"/>
              </w:rPr>
            </w:pPr>
            <w:r>
              <w:rPr>
                <w:rFonts w:ascii="Arial" w:hAnsi="Arial" w:cs="Arial"/>
                <w:sz w:val="20"/>
                <w:szCs w:val="20"/>
              </w:rPr>
              <w:t xml:space="preserve">- </w:t>
            </w:r>
            <w:r w:rsidRPr="00ED02DE">
              <w:rPr>
                <w:shd w:val="clear" w:color="auto" w:fill="FFFFFF"/>
              </w:rPr>
              <w:t>Khoản chi này bao gồm: học phí (nếu có) + chênh lệch tiền lương ngạch bậc (đảm bảo 100% lương cho người đi học).</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Chi phí tiền lương và phụ cấp (nếu có) cho giáo viên dạy ở nhà trẻ, mẫu giáo do doanh nghiệp tổ chức và quản lý.</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Chi phí tổ chức khám sức khoẻ thêm trong năm như khám bệnh nghề nghiệp, mãn tính hoặc phụ khoa cho nữ công nhân viên.</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Chi bồi dưỡng cho lao động nữ sau khi sinh con lần thứ nhất hoặc lần thứ hai.</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Phụ cấp làm thêm giờ cho lao động nữ trong trường hợp vì lý do khách quan người lao động nữ không nghỉ sau khi sinh con, nghỉ cho con bú mà ở lại làm việc cho doanh nghiệp được trả theo chế độ hiện hành; kể cả trường hợp trả lương theo sản phẩm mà lao động nữ vẫn làm việc trong thời gian không nghỉ theo chế độ.</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ED02DE" w:rsidRDefault="00C72CEF" w:rsidP="00C72CEF">
            <w:pPr>
              <w:spacing w:before="120" w:after="120" w:line="360" w:lineRule="auto"/>
              <w:rPr>
                <w:rFonts w:ascii="Arial" w:hAnsi="Arial" w:cs="Arial"/>
                <w:sz w:val="20"/>
                <w:szCs w:val="20"/>
              </w:rPr>
            </w:pPr>
            <w:r>
              <w:rPr>
                <w:shd w:val="clear" w:color="auto" w:fill="FFFFFF"/>
              </w:rPr>
              <w:t>Các khoản chi thêm cho người dân tộc thiểu số được tính vào chi phí được trừ bao gồm: học phí đi học (nếu có) cộng chênh lệch tiền lương ngạch bậc (đảm bảo 100% lương cho người đi học); tiền hỗ trợ về nhà ở, bảo hiểm xã hội, bảo hiểm y tế cho người dân tộc thiểu số trong trường hợp chưa được Nhà nước hỗ trợ theo chế độ quy định.</w:t>
            </w:r>
          </w:p>
        </w:tc>
      </w:tr>
      <w:tr w:rsidR="00C72CEF" w:rsidRPr="00DC1775" w:rsidTr="00190632">
        <w:trPr>
          <w:gridAfter w:val="1"/>
          <w:wAfter w:w="6349" w:type="dxa"/>
        </w:trPr>
        <w:tc>
          <w:tcPr>
            <w:tcW w:w="675" w:type="dxa"/>
            <w:vMerge w:val="restart"/>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11</w:t>
            </w:r>
          </w:p>
        </w:tc>
        <w:tc>
          <w:tcPr>
            <w:tcW w:w="2552" w:type="dxa"/>
            <w:vMerge w:val="restart"/>
            <w:vAlign w:val="center"/>
          </w:tcPr>
          <w:p w:rsidR="00C72CEF" w:rsidRPr="00ED02DE" w:rsidRDefault="00C72CEF" w:rsidP="00C72CEF">
            <w:pPr>
              <w:spacing w:before="120" w:after="120" w:line="360" w:lineRule="auto"/>
              <w:jc w:val="center"/>
              <w:rPr>
                <w:rFonts w:ascii="Arial" w:hAnsi="Arial" w:cs="Arial"/>
                <w:sz w:val="20"/>
                <w:szCs w:val="20"/>
              </w:rPr>
            </w:pPr>
            <w:r>
              <w:rPr>
                <w:shd w:val="clear" w:color="auto" w:fill="FFFFFF"/>
              </w:rPr>
              <w:t>Chi trả tiền điện, tiền nước đối với những hợp đồng điện nước do chủ sở hữu là hộ gia đình, cá nhân cho thuê địa điểm sản xuất, kinh doanh ký trực tiếp với đơn vị cung cấp điện, nước không có đủ chứng từ thuộc một trong các trường hợp sau:</w:t>
            </w: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Pr>
                <w:rFonts w:ascii="Arial" w:hAnsi="Arial" w:cs="Arial"/>
                <w:color w:val="000000"/>
                <w:sz w:val="21"/>
                <w:szCs w:val="21"/>
                <w:shd w:val="clear" w:color="auto" w:fill="FFFFFF"/>
              </w:rPr>
              <w:t>Trường hợp doanh nghiệp thuê địa điểm sản xuất kinh doanh trực tiếp thanh toán tiền điện, nước cho nhà cung cấp điện, nước không có các hoá đơn thanh toán tiền điện, nước và hợp đồng thuê địa điểm sản xuất kinh doanh.</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Pr>
                <w:rFonts w:ascii="Arial" w:hAnsi="Arial" w:cs="Arial"/>
                <w:color w:val="000000"/>
                <w:sz w:val="21"/>
                <w:szCs w:val="21"/>
                <w:shd w:val="clear" w:color="auto" w:fill="FFFFFF"/>
              </w:rPr>
              <w:t>Trường hợp doanh nghiệp thuê địa điểm sản xuất kinh doanh thanh toán tiền điện, nước với chủ sở hữu cho thuê địa điểm sản xuất kinh doanh không có chứng từ thanh toán tiền điện, nước đối với người cho thuê địa điểm sản xuất kinh doanh phù hợp với số lượng điện, nước thực tế tiêu thụ và hợp đồng thuê địa điểm sản xuất kinh doanh.</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12</w:t>
            </w:r>
          </w:p>
        </w:tc>
        <w:tc>
          <w:tcPr>
            <w:tcW w:w="2552"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Trích, lập và sử dụng các khoản dự phòng không theo đúng hướng dẫn của Bộ Tài chính về trích lập dự phòng</w:t>
            </w: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Áp dụng đối với dự phòng giảm giá hàng tồn kho, dự phòng tổn thất các khoản đầu tư tài chính, dự phòng nợ phải thu khó đòi, dự phòng bảo hành sản phẩm, hàng hoá, công trình xây lắp và dự phòng rủi ro nghề nghiệp của doanh nghiệp thẩm định giá, doanh nghiệp cung cấp dịch vụ kiểm toán độc lập.</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13</w:t>
            </w:r>
          </w:p>
        </w:tc>
        <w:tc>
          <w:tcPr>
            <w:tcW w:w="2552"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Các khoản chi phí trích trước theo kỳ hạn, theo chu kỳ mà đến hết kỳ hạn, hết chu kỳ chưa chi hoặc chi không hết.</w:t>
            </w:r>
          </w:p>
        </w:tc>
        <w:tc>
          <w:tcPr>
            <w:tcW w:w="6349" w:type="dxa"/>
            <w:vAlign w:val="center"/>
          </w:tcPr>
          <w:p w:rsidR="00C72CEF" w:rsidRDefault="00C72CEF" w:rsidP="00190632">
            <w:pPr>
              <w:spacing w:line="360" w:lineRule="auto"/>
            </w:pPr>
            <w:r>
              <w:t xml:space="preserve">- </w:t>
            </w:r>
            <w:r w:rsidRPr="00ED02DE">
              <w:t>Các khoản trích trước bao gồm: trích trước về sửa chữa lớn tài sản cố định theo chu kỳ, các khoản trích trước đối với hoạt động đã tính doanh thu nhưng còn tiếp tục phải thực hiện nghĩa vụ theo hợp đồng (kể cả trường hợp doanh nghiệp có hoạt động cho thuê tài sản, hoạt động kinh doanh dịch vụ trong nhiều năm nhưng có thu tiền trước của khách hàng và đã tính toàn bộ vào doanh thu của năm thu tiền) và các khoản trích trước khác.</w:t>
            </w:r>
          </w:p>
          <w:p w:rsidR="00190632" w:rsidRPr="00190632" w:rsidRDefault="00C72CEF" w:rsidP="00C72CEF">
            <w:pPr>
              <w:spacing w:before="120" w:after="120" w:line="360" w:lineRule="auto"/>
            </w:pPr>
            <w:r>
              <w:rPr>
                <w:sz w:val="20"/>
                <w:szCs w:val="20"/>
              </w:rPr>
              <w:t xml:space="preserve">- </w:t>
            </w:r>
            <w:r w:rsidRPr="00ED02DE">
              <w:rPr>
                <w:lang w:val="am-ET"/>
              </w:rPr>
              <w:t>Trường hợp doanh nghiệp có hoạt động sản xuất kinh doanh đã ghi nhận doanh thu tính thuế thu nhập doanh nghiệp nhưng chưa phát sinh đầy đủ chi phí thì được trích trước các khoản chi phí theo quy định vào chi phí được trừ tương ứng với doanh thu đã ghi nhận khi xác định thu nhập chịu thuế thu nhập doanh nghiệp. Khi kết thúc hợp đồng, doanh nghiệp phải tính toán xác định chính xác số chi phí thực tế căn cứ các hoá đơn, chứng từ hợp pháp thực tế đã phát sinh để điều chỉnh tăng chi phí (trường hợp chi phí thực tế phát sinh lớn hơn số đã trích trước) hoặc giảm chi phí (trường hợp chi phí thực tế phát sinh nhỏ hơn số đã trích trước) vào kỳ tính thuế kết thúc hợp đồng.</w:t>
            </w:r>
          </w:p>
          <w:p w:rsidR="00C72CEF" w:rsidRPr="00ED02DE" w:rsidRDefault="00C72CEF" w:rsidP="00C72CEF">
            <w:pPr>
              <w:spacing w:before="120" w:after="120" w:line="360" w:lineRule="auto"/>
              <w:rPr>
                <w:rFonts w:ascii="Arial" w:hAnsi="Arial" w:cs="Arial"/>
                <w:sz w:val="20"/>
                <w:szCs w:val="20"/>
              </w:rPr>
            </w:pPr>
            <w:r>
              <w:rPr>
                <w:rFonts w:eastAsia="Times New Roman"/>
              </w:rPr>
              <w:t xml:space="preserve">- </w:t>
            </w:r>
            <w:r w:rsidRPr="00ED02DE">
              <w:rPr>
                <w:rFonts w:eastAsia="Times New Roman"/>
                <w:lang w:val="am-ET"/>
              </w:rPr>
              <w:t>Đối với những tài sản cố định việc sửa chữa có tính chu kỳ thì doanh nghiệp được trích trước chi phí sửa chữa theo dự toán vào chi phí hàng năm. Nếu số thực chi sửa chữa lớn hơn số trích theo dự toán thì doanh nghiệp được tính thêm vào chi phí được trừ số chênh lệch này.</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14</w:t>
            </w:r>
          </w:p>
        </w:tc>
        <w:tc>
          <w:tcPr>
            <w:tcW w:w="2552"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Lỗ chênh lệch tỷ giá hối đoái</w:t>
            </w:r>
          </w:p>
        </w:tc>
        <w:tc>
          <w:tcPr>
            <w:tcW w:w="6349" w:type="dxa"/>
            <w:vAlign w:val="center"/>
          </w:tcPr>
          <w:p w:rsidR="00C72CEF" w:rsidRDefault="00C72CEF" w:rsidP="00C72CEF">
            <w:pPr>
              <w:spacing w:before="120" w:after="120" w:line="360" w:lineRule="auto"/>
              <w:rPr>
                <w:rFonts w:ascii="Arial" w:hAnsi="Arial" w:cs="Arial"/>
                <w:sz w:val="20"/>
                <w:szCs w:val="20"/>
              </w:rPr>
            </w:pPr>
            <w:r w:rsidRPr="00F47E4E">
              <w:rPr>
                <w:rFonts w:ascii="Arial" w:hAnsi="Arial" w:cs="Arial"/>
                <w:sz w:val="20"/>
                <w:szCs w:val="20"/>
              </w:rPr>
              <w:t>-</w:t>
            </w:r>
            <w:r>
              <w:rPr>
                <w:rFonts w:ascii="Arial" w:hAnsi="Arial" w:cs="Arial"/>
                <w:sz w:val="20"/>
                <w:szCs w:val="20"/>
              </w:rPr>
              <w:t xml:space="preserve"> </w:t>
            </w:r>
            <w:r w:rsidRPr="00F47E4E">
              <w:rPr>
                <w:rFonts w:ascii="Arial" w:hAnsi="Arial" w:cs="Arial"/>
                <w:sz w:val="20"/>
                <w:szCs w:val="20"/>
              </w:rPr>
              <w:t>Do đánh giá lại các khoản mục tiền tệ có gốc ngoại tệ cuối kỳ tính thuế bao gồm chênh lệch tỷ giá hối đoái do đánh giá lại số dư cuối năm là: tiền mặt, tiền gửi, tiền đang chuyển, các khoản nợ phải thu có gốc ngoại tệ (trừ lỗ chênh lệch tỷ giá hối đoái do đánh giá lại các khoản nợ phải trả có gốc ngoại tệ cuối kỳ tính thuế).</w:t>
            </w:r>
          </w:p>
          <w:p w:rsidR="00C72CEF" w:rsidRDefault="00C72CEF" w:rsidP="00C72CEF">
            <w:pPr>
              <w:spacing w:before="120" w:after="120" w:line="360" w:lineRule="auto"/>
              <w:rPr>
                <w:rFonts w:ascii="Arial" w:hAnsi="Arial" w:cs="Arial"/>
                <w:sz w:val="20"/>
                <w:szCs w:val="20"/>
              </w:rPr>
            </w:pPr>
            <w:r>
              <w:rPr>
                <w:rFonts w:ascii="Arial" w:hAnsi="Arial" w:cs="Arial"/>
                <w:sz w:val="20"/>
                <w:szCs w:val="20"/>
              </w:rPr>
              <w:t xml:space="preserve">- </w:t>
            </w:r>
            <w:r w:rsidRPr="00F47E4E">
              <w:rPr>
                <w:rFonts w:ascii="Arial" w:eastAsia="Times New Roman" w:hAnsi="Arial" w:cs="Arial"/>
                <w:color w:val="000000"/>
                <w:sz w:val="21"/>
                <w:szCs w:val="21"/>
                <w:lang w:val="am-ET"/>
              </w:rPr>
              <w:t>Trong giai đoạn đầu tư xây dựng để hình thành tài sản cố định của doanh nghiệp mới thành lập, chưa đi vào hoạt động, chênh lệch tỷ giá hối đoái phát sinh khi thanh toán các khoản mục tiền tệ có gốc ngoại tệ để thực hiện đầu tư xây dựng và chênh lệch tỷ giá hối đoái phát sinh khi đánh giá lại các khoản nợ phải trả có gốc ngoại tệ cuối năm tài chính được phản ánh riêng biệt. Khi tài sản cố định hoàn thành đầu tư xây dựng đưa vào sử dụng thì chênh lệch tỷ giá hối đoái phát sinh trong giai đoạn đầu tư xây dựng (sau khi bù trừ số chênh lệch tăng và chênh lệch giảm) được phân bổ dần vào doanh thu hoạt động tài chính hoặc chi phí tài chính, thời gian phân bổ không quá 5 năm kể từ khi công trình đưa vào hoạt động.</w:t>
            </w:r>
          </w:p>
          <w:p w:rsidR="00C72CEF" w:rsidRDefault="00C72CEF" w:rsidP="00C72CEF">
            <w:pPr>
              <w:spacing w:before="120" w:after="120" w:line="360" w:lineRule="auto"/>
              <w:rPr>
                <w:rFonts w:ascii="Arial" w:hAnsi="Arial" w:cs="Arial"/>
                <w:sz w:val="20"/>
                <w:szCs w:val="20"/>
              </w:rPr>
            </w:pPr>
            <w:r>
              <w:rPr>
                <w:rFonts w:ascii="Arial" w:hAnsi="Arial" w:cs="Arial"/>
                <w:sz w:val="20"/>
                <w:szCs w:val="20"/>
              </w:rPr>
              <w:t xml:space="preserve">- </w:t>
            </w:r>
            <w:r w:rsidRPr="00F47E4E">
              <w:rPr>
                <w:rFonts w:ascii="Arial" w:eastAsia="Times New Roman" w:hAnsi="Arial" w:cs="Arial"/>
                <w:color w:val="000000"/>
                <w:sz w:val="21"/>
                <w:szCs w:val="21"/>
                <w:lang w:val="am-ET"/>
              </w:rPr>
              <w:t>Trong giai đoạn sản xuất, kinh doanh, kể cả việc đầu tư xây dựng để hình thành tài sản cố định của doanh nghiệp đang hoạt động, chênh lệch tỷ giá hối đoái phát sinh từ các giao dịch bằng ngoại tệ của các khoản mục tiền tệ có gốc ngoại tệ sẽ được hạch toán vào doanh thu hoạt động tài chính hoặc chi phí tài chính trong năm tài chính.</w:t>
            </w:r>
          </w:p>
          <w:p w:rsidR="00C72CEF" w:rsidRPr="00DC1775" w:rsidRDefault="00C72CEF" w:rsidP="00C72CEF">
            <w:pPr>
              <w:spacing w:before="120" w:after="120" w:line="360" w:lineRule="auto"/>
              <w:rPr>
                <w:rFonts w:ascii="Arial" w:hAnsi="Arial" w:cs="Arial"/>
                <w:sz w:val="20"/>
                <w:szCs w:val="20"/>
              </w:rPr>
            </w:pPr>
            <w:r>
              <w:rPr>
                <w:rFonts w:ascii="Arial" w:hAnsi="Arial" w:cs="Arial"/>
                <w:sz w:val="20"/>
                <w:szCs w:val="20"/>
              </w:rPr>
              <w:t xml:space="preserve">- </w:t>
            </w:r>
            <w:r w:rsidRPr="00F47E4E">
              <w:rPr>
                <w:rFonts w:ascii="Arial" w:eastAsia="Times New Roman" w:hAnsi="Arial" w:cs="Arial"/>
                <w:color w:val="000000"/>
                <w:sz w:val="21"/>
                <w:szCs w:val="21"/>
                <w:lang w:val="am-ET"/>
              </w:rPr>
              <w:t>Đối với khoản nợ phải thu và khoản cho vay có gốc ngoại tệ phát sinh trong kỳ, chênh lệch tỷ giá hối đoái được tính vào chi phí được trừ là khoản chênh lệch giữa tỷ giá tại thời điểm phát sinh thu hồi nợ hoặc thu hồi khoản cho vay với tỷ giá tại thời điểm ghi nhận khoản nợ phải thu hoặc khoản cho vay ban đầu.</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15</w:t>
            </w:r>
          </w:p>
        </w:tc>
        <w:tc>
          <w:tcPr>
            <w:tcW w:w="2552"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Chi tài trợ cho giáo dụ</w:t>
            </w:r>
            <w:r>
              <w:rPr>
                <w:rFonts w:ascii="Arial" w:hAnsi="Arial" w:cs="Arial"/>
                <w:sz w:val="20"/>
                <w:szCs w:val="20"/>
              </w:rPr>
              <w:t xml:space="preserve">c </w:t>
            </w:r>
            <w:r w:rsidRPr="00DC1775">
              <w:rPr>
                <w:rFonts w:ascii="Arial" w:hAnsi="Arial" w:cs="Arial"/>
                <w:sz w:val="20"/>
                <w:szCs w:val="20"/>
              </w:rPr>
              <w:t>không đúng đối tượng hoặ</w:t>
            </w:r>
            <w:r>
              <w:rPr>
                <w:rFonts w:ascii="Arial" w:hAnsi="Arial" w:cs="Arial"/>
                <w:sz w:val="20"/>
                <w:szCs w:val="20"/>
              </w:rPr>
              <w:t>c c</w:t>
            </w:r>
            <w:r w:rsidRPr="00DC1775">
              <w:rPr>
                <w:rFonts w:ascii="Arial" w:hAnsi="Arial" w:cs="Arial"/>
                <w:sz w:val="20"/>
                <w:szCs w:val="20"/>
              </w:rPr>
              <w:t>hi mà không có hồ sơ xác định khoản tài trợ</w:t>
            </w:r>
            <w:r>
              <w:rPr>
                <w:rFonts w:ascii="Arial" w:hAnsi="Arial" w:cs="Arial"/>
                <w:sz w:val="20"/>
                <w:szCs w:val="20"/>
              </w:rPr>
              <w:t xml:space="preserve"> </w:t>
            </w:r>
            <w:r w:rsidRPr="00DC1775">
              <w:rPr>
                <w:rFonts w:ascii="Arial" w:hAnsi="Arial" w:cs="Arial"/>
                <w:sz w:val="20"/>
                <w:szCs w:val="20"/>
              </w:rPr>
              <w:t>(bao gồm cả chi tài trợ cho hoạt động giáo dục nghề nghiệp)</w:t>
            </w:r>
          </w:p>
        </w:tc>
        <w:tc>
          <w:tcPr>
            <w:tcW w:w="6349" w:type="dxa"/>
            <w:vAlign w:val="center"/>
          </w:tcPr>
          <w:p w:rsidR="00C72CEF" w:rsidRDefault="00C72CEF" w:rsidP="00C72CEF">
            <w:pPr>
              <w:spacing w:before="120" w:after="120" w:line="360" w:lineRule="auto"/>
              <w:rPr>
                <w:rFonts w:ascii="Arial" w:hAnsi="Arial" w:cs="Arial"/>
                <w:sz w:val="20"/>
                <w:szCs w:val="20"/>
              </w:rPr>
            </w:pPr>
            <w:r w:rsidRPr="00DC1775">
              <w:rPr>
                <w:rFonts w:ascii="Arial" w:hAnsi="Arial" w:cs="Arial"/>
                <w:sz w:val="20"/>
                <w:szCs w:val="20"/>
              </w:rPr>
              <w:t>Chi không đúng đối tượng hoặc Chi mà không có hồ sơ xác định khoản tài trợ</w:t>
            </w:r>
            <w:r>
              <w:rPr>
                <w:rFonts w:ascii="Arial" w:hAnsi="Arial" w:cs="Arial"/>
                <w:sz w:val="20"/>
                <w:szCs w:val="20"/>
              </w:rPr>
              <w:t>.</w:t>
            </w:r>
          </w:p>
          <w:p w:rsidR="00C72CEF" w:rsidRPr="00F47E4E" w:rsidRDefault="00C72CEF" w:rsidP="00C72CEF">
            <w:pPr>
              <w:spacing w:before="120" w:after="120" w:line="360" w:lineRule="auto"/>
              <w:rPr>
                <w:rFonts w:ascii="Arial" w:hAnsi="Arial" w:cs="Arial"/>
                <w:sz w:val="20"/>
                <w:szCs w:val="20"/>
              </w:rPr>
            </w:pPr>
            <w:r>
              <w:rPr>
                <w:rFonts w:ascii="Arial" w:hAnsi="Arial" w:cs="Arial"/>
                <w:sz w:val="20"/>
                <w:szCs w:val="20"/>
              </w:rPr>
              <w:t xml:space="preserve">- </w:t>
            </w:r>
            <w:r w:rsidRPr="00F47E4E">
              <w:rPr>
                <w:rFonts w:ascii="Arial" w:hAnsi="Arial" w:cs="Arial"/>
                <w:sz w:val="20"/>
                <w:szCs w:val="20"/>
              </w:rPr>
              <w:t>Chi tài trợ không thuộc vào một trong các đối tượng sau đây: T</w:t>
            </w:r>
            <w:r w:rsidRPr="00F47E4E">
              <w:rPr>
                <w:rFonts w:ascii="Arial" w:hAnsi="Arial" w:cs="Arial"/>
                <w:color w:val="000000"/>
                <w:sz w:val="21"/>
                <w:szCs w:val="21"/>
                <w:shd w:val="clear" w:color="auto" w:fill="FFFFFF"/>
              </w:rPr>
              <w:t>ài trợ cho các trường học công lập, dân lập và tư thục thuộc hệ thống giáo dục quốc dân theo quy định của pháp luật về giáo dục mà khoản tài trợ này không phải là để góp vốn, mua cổ phần trong các trường học; Tài trợ cơ sở vật chất phục vụ giảng dạy, học tập và hoạt động của trường học; Tài trợ cho các hoạt động thường xuyên của trường; Tài trợ học bổng cho học sinh, sinh viên thuộc các cơ sở giáo dục phổ thông, cơ sở giáo dục nghề nghiệp và cơ sở sở giáo dục đại học được quy định tại Luật Giáo dục (tài trợ trực tiếp cho học sinh, sinh viên hoặc thông qua các cơ sở giáo dục, thông qua các cơ quan, tổ chức có chức năng huy động tài trợ theo quy định của pháp luật); Tài trợ cho các cuộc thi về các môn học được giảng dạy trong trường học mà đối tượng tham gia dự thi là người học; tài trợ để thành lập các Quỹ khuyến học giáo dục theo quy định của pháp luật về giáo dục đào tạo.</w:t>
            </w:r>
          </w:p>
          <w:p w:rsidR="00C72CEF" w:rsidRPr="00F47E4E" w:rsidRDefault="00C72CEF" w:rsidP="00C72CEF">
            <w:pPr>
              <w:spacing w:before="120" w:after="120" w:line="360" w:lineRule="auto"/>
              <w:rPr>
                <w:rFonts w:ascii="Arial" w:hAnsi="Arial" w:cs="Arial"/>
                <w:sz w:val="20"/>
                <w:szCs w:val="20"/>
              </w:rPr>
            </w:pPr>
            <w:r w:rsidRPr="00F47E4E">
              <w:rPr>
                <w:rFonts w:ascii="Arial" w:hAnsi="Arial" w:cs="Arial"/>
                <w:sz w:val="20"/>
                <w:szCs w:val="20"/>
              </w:rPr>
              <w:t>-</w:t>
            </w:r>
            <w:r>
              <w:rPr>
                <w:rFonts w:ascii="Arial" w:hAnsi="Arial" w:cs="Arial"/>
                <w:sz w:val="20"/>
                <w:szCs w:val="20"/>
              </w:rPr>
              <w:t xml:space="preserve"> </w:t>
            </w:r>
            <w:r w:rsidRPr="00F47E4E">
              <w:rPr>
                <w:rFonts w:ascii="Arial" w:hAnsi="Arial" w:cs="Arial"/>
                <w:sz w:val="20"/>
                <w:szCs w:val="20"/>
              </w:rPr>
              <w:t>Không có hồ sơ xác định khoản tài trợ với các giấy tờ sau đây:</w:t>
            </w:r>
            <w:r>
              <w:rPr>
                <w:rFonts w:ascii="Arial" w:hAnsi="Arial" w:cs="Arial"/>
                <w:sz w:val="20"/>
                <w:szCs w:val="20"/>
              </w:rPr>
              <w:t xml:space="preserve"> </w:t>
            </w:r>
            <w:r w:rsidRPr="00F47E4E">
              <w:t>Biên bản xác nhận khoản tài trợ có chữ ký của người đại diện cơ sở kinh doanh là nhà tài trợ, đại diện của cơ sở giáo dục hợp pháp là đơn vị nhận tài trợ, học sinh, sinh viên (hoặc cơ quan, tổ chức có chức năng huy động tài trợ) nhận tài trợ (theo mẫu số 03/TNDN ban hành kèm theo Thông tư số 78/2014/TT-BTC); kèm theo hoá đơn, chứng từ mua hàng hoá (nếu tài trợ bằng hiện vật) hoặc chứng từ chi tiền (nếu tài trợ bằng tiền).</w:t>
            </w:r>
          </w:p>
        </w:tc>
      </w:tr>
      <w:tr w:rsidR="00C72CEF" w:rsidRPr="00DC1775" w:rsidTr="00190632">
        <w:trPr>
          <w:gridAfter w:val="1"/>
          <w:wAfter w:w="6349" w:type="dxa"/>
        </w:trPr>
        <w:tc>
          <w:tcPr>
            <w:tcW w:w="675" w:type="dxa"/>
            <w:vMerge w:val="restart"/>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16</w:t>
            </w:r>
          </w:p>
        </w:tc>
        <w:tc>
          <w:tcPr>
            <w:tcW w:w="2552" w:type="dxa"/>
            <w:vMerge w:val="restart"/>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Chi tài trợ cho y tế</w:t>
            </w:r>
            <w:r>
              <w:rPr>
                <w:rFonts w:ascii="Arial" w:hAnsi="Arial" w:cs="Arial"/>
                <w:sz w:val="20"/>
                <w:szCs w:val="20"/>
              </w:rPr>
              <w:t xml:space="preserve"> </w:t>
            </w:r>
            <w:r w:rsidRPr="00DC1775">
              <w:rPr>
                <w:rFonts w:ascii="Arial" w:hAnsi="Arial" w:cs="Arial"/>
                <w:sz w:val="20"/>
                <w:szCs w:val="20"/>
              </w:rPr>
              <w:t>không đúng đối tượng hoặ</w:t>
            </w:r>
            <w:r>
              <w:rPr>
                <w:rFonts w:ascii="Arial" w:hAnsi="Arial" w:cs="Arial"/>
                <w:sz w:val="20"/>
                <w:szCs w:val="20"/>
              </w:rPr>
              <w:t>c c</w:t>
            </w:r>
            <w:r w:rsidRPr="00DC1775">
              <w:rPr>
                <w:rFonts w:ascii="Arial" w:hAnsi="Arial" w:cs="Arial"/>
                <w:sz w:val="20"/>
                <w:szCs w:val="20"/>
              </w:rPr>
              <w:t>hi mà không có hồ sơ xác định khoản tài trợ</w:t>
            </w:r>
          </w:p>
        </w:tc>
        <w:tc>
          <w:tcPr>
            <w:tcW w:w="6349" w:type="dxa"/>
            <w:vAlign w:val="center"/>
          </w:tcPr>
          <w:p w:rsidR="00C72CEF" w:rsidRPr="00DC1775" w:rsidRDefault="00C72CEF" w:rsidP="00190632">
            <w:pPr>
              <w:spacing w:line="360" w:lineRule="auto"/>
            </w:pPr>
            <w:r w:rsidRPr="00DC1775">
              <w:t>Chi không đúng đối tượng sau: tài trợ cho các cơ sở y tế được thành lập theo quy định pháp luật về y tế mà khoản tài trợ này không phải là để góp vốn, mua cổ phần trong các bệnh viện, trung tâm y tế đó; tài trợ thiết bị y tế, dụng cụ y tế, thuốc chữa bệnh; tài trợ cho các hoạt động thường xuyên của bệnh viện, trung tâm y tế; chi tài trợ bằng tiền cho người bị bệnh thông qua một cơ quan, tổ chức có chức năng huy động tài trợ theo quy định của pháp luật.</w:t>
            </w:r>
          </w:p>
        </w:tc>
      </w:tr>
      <w:tr w:rsidR="00C72CEF" w:rsidRPr="00DC1775" w:rsidTr="00190632">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Chi mà không có hồ sơ xác định khoản tài trợ</w:t>
            </w:r>
            <w:r>
              <w:rPr>
                <w:rFonts w:ascii="Arial" w:hAnsi="Arial" w:cs="Arial"/>
                <w:sz w:val="20"/>
                <w:szCs w:val="20"/>
              </w:rPr>
              <w:t xml:space="preserve">: </w:t>
            </w:r>
            <w:r>
              <w:rPr>
                <w:rFonts w:ascii="Arial" w:hAnsi="Arial" w:cs="Arial"/>
                <w:color w:val="000000"/>
                <w:sz w:val="21"/>
                <w:szCs w:val="21"/>
                <w:shd w:val="clear" w:color="auto" w:fill="FFFFFF"/>
              </w:rPr>
              <w:t>Biên bản xác nhận khoản tài trợ có chữ ký của người đại diện doanh nghiệp là nhà tài trợ, đại diện của đơn vị nhận tài trợ (hoặc cơ quan, tổ chức có chức năng huy động tài trợ) theo mẫu số 04/TNDN ban hành kèm theo Thông tư số </w:t>
            </w:r>
            <w:hyperlink r:id="rId9" w:tgtFrame="_blank" w:history="1">
              <w:r>
                <w:rPr>
                  <w:rStyle w:val="Hyperlink"/>
                  <w:rFonts w:ascii="Arial" w:hAnsi="Arial" w:cs="Arial"/>
                  <w:color w:val="0492DB"/>
                  <w:sz w:val="21"/>
                  <w:szCs w:val="21"/>
                  <w:shd w:val="clear" w:color="auto" w:fill="FFFFFF"/>
                </w:rPr>
                <w:t>78/2014/TT-BTC </w:t>
              </w:r>
            </w:hyperlink>
            <w:r>
              <w:rPr>
                <w:rFonts w:ascii="Arial" w:hAnsi="Arial" w:cs="Arial"/>
                <w:color w:val="000000"/>
                <w:sz w:val="21"/>
                <w:szCs w:val="21"/>
                <w:shd w:val="clear" w:color="auto" w:fill="FFFFFF"/>
              </w:rPr>
              <w:t>kèm theo hoá đơn, chứng từ mua hàng hoá (nếu tài trợ bằng hiện vật) hoặc chứng từ chi tiền (nếu tài trợ bằng tiền).</w:t>
            </w:r>
          </w:p>
        </w:tc>
        <w:tc>
          <w:tcPr>
            <w:tcW w:w="6349" w:type="dxa"/>
            <w:tcBorders>
              <w:top w:val="nil"/>
              <w:bottom w:val="nil"/>
              <w:right w:val="nil"/>
            </w:tcBorders>
            <w:vAlign w:val="center"/>
          </w:tcPr>
          <w:p w:rsidR="00C72CEF" w:rsidRPr="00DC1775" w:rsidRDefault="00C72CEF" w:rsidP="00C72CEF">
            <w:pPr>
              <w:spacing w:before="120" w:after="120" w:line="360" w:lineRule="auto"/>
              <w:rPr>
                <w:rFonts w:ascii="Arial" w:hAnsi="Arial" w:cs="Arial"/>
                <w:sz w:val="20"/>
                <w:szCs w:val="20"/>
              </w:rPr>
            </w:pPr>
          </w:p>
        </w:tc>
      </w:tr>
      <w:tr w:rsidR="00C72CEF" w:rsidRPr="00DC1775" w:rsidTr="00190632">
        <w:trPr>
          <w:gridAfter w:val="1"/>
          <w:wAfter w:w="6349" w:type="dxa"/>
        </w:trPr>
        <w:tc>
          <w:tcPr>
            <w:tcW w:w="675" w:type="dxa"/>
            <w:vMerge w:val="restart"/>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17</w:t>
            </w:r>
          </w:p>
        </w:tc>
        <w:tc>
          <w:tcPr>
            <w:tcW w:w="2552" w:type="dxa"/>
            <w:vMerge w:val="restart"/>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Chi tài trợ làm nhà cho người nghèo</w:t>
            </w: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Chi không đúng đối tượng là hộ nghèo theo quy định của Thủ tướng Chính phủ</w:t>
            </w:r>
            <w:r>
              <w:rPr>
                <w:rFonts w:ascii="Arial" w:hAnsi="Arial" w:cs="Arial"/>
                <w:sz w:val="20"/>
                <w:szCs w:val="20"/>
              </w:rPr>
              <w:t>.</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1B09B6" w:rsidRDefault="00C72CEF" w:rsidP="00C72CEF">
            <w:pPr>
              <w:spacing w:before="120" w:after="120" w:line="360" w:lineRule="auto"/>
              <w:rPr>
                <w:shd w:val="clear" w:color="auto" w:fill="FFFFFF"/>
              </w:rPr>
            </w:pPr>
            <w:r w:rsidRPr="001B09B6">
              <w:rPr>
                <w:rFonts w:ascii="Arial" w:hAnsi="Arial" w:cs="Arial"/>
                <w:sz w:val="20"/>
                <w:szCs w:val="20"/>
              </w:rPr>
              <w:t>-</w:t>
            </w:r>
            <w:r>
              <w:rPr>
                <w:rFonts w:ascii="Arial" w:hAnsi="Arial" w:cs="Arial"/>
                <w:sz w:val="20"/>
                <w:szCs w:val="20"/>
              </w:rPr>
              <w:t xml:space="preserve"> </w:t>
            </w:r>
            <w:r w:rsidRPr="001B09B6">
              <w:rPr>
                <w:rFonts w:ascii="Arial" w:hAnsi="Arial" w:cs="Arial"/>
                <w:sz w:val="20"/>
                <w:szCs w:val="20"/>
              </w:rPr>
              <w:t xml:space="preserve">Chi tài trợ làm nhà tình nghĩa, làm nhà cho người nghèo, làm nhà đại đoàn kết theo quy định của pháp luật không có hồ sơ xác định khoản tài trợ, hồ sơ bao gồm: </w:t>
            </w:r>
            <w:r w:rsidRPr="001B09B6">
              <w:rPr>
                <w:shd w:val="clear" w:color="auto" w:fill="FFFFFF"/>
              </w:rPr>
              <w:t>Biên bản xác nhận khoản tài trợ có chữ ký của người đại diện doanh nghiệp là nhà tài trợ, người được hưởng tài trợ là bên nhận tài trợ (theo mẫu số 06/TNDN ban hành kèm theo Thông tư số 78/2014/TT-BTC); văn bản xác nhận hộ nghèo của chính quyền địa phương (đối với tài trợ làm nhà cho người nghèo); hoá đơn, chứng từ mua hàng hoá (nếu tài trợ bằng hiện vật) hoặc chứng từ chi tiền (nếu tài trợ bằng tiền).</w:t>
            </w:r>
          </w:p>
          <w:p w:rsidR="00C72CEF" w:rsidRPr="001B09B6" w:rsidRDefault="00C72CEF" w:rsidP="00C72CEF">
            <w:pPr>
              <w:spacing w:before="120" w:after="120" w:line="360" w:lineRule="auto"/>
              <w:rPr>
                <w:rFonts w:ascii="Arial" w:hAnsi="Arial" w:cs="Arial"/>
                <w:sz w:val="20"/>
                <w:szCs w:val="20"/>
              </w:rPr>
            </w:pPr>
            <w:r>
              <w:rPr>
                <w:rFonts w:ascii="Arial" w:hAnsi="Arial" w:cs="Arial"/>
                <w:color w:val="000000"/>
                <w:sz w:val="21"/>
                <w:szCs w:val="21"/>
                <w:shd w:val="clear" w:color="auto" w:fill="FFFFFF"/>
              </w:rPr>
              <w:t xml:space="preserve">- </w:t>
            </w:r>
            <w:r w:rsidRPr="001B09B6">
              <w:rPr>
                <w:rFonts w:ascii="Arial" w:hAnsi="Arial" w:cs="Arial"/>
                <w:color w:val="000000"/>
                <w:sz w:val="21"/>
                <w:szCs w:val="21"/>
                <w:shd w:val="clear" w:color="auto" w:fill="FFFFFF"/>
              </w:rPr>
              <w:t>Trường hợp bên nhận tài trợ là cơ quan, tổ chức có chức năng huy động tài trợ thì hồ sơ xác định khoản tài trợ bao gồm: Biên bản xác nhận khoản tài trợ có chữ ký của người đại diện doanh nghiệp là nhà tài trợ và cơ quan, tổ chức có chức năng huy động tài trợ là bên nhận tài trợ; hoá đơn, chứng từ mua hàng hoá (nếu tài trợ bằng hiện vật) hoặc chứng từ chi tiền (nếu tài trợ bằng tiền).</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18</w:t>
            </w:r>
          </w:p>
        </w:tc>
        <w:tc>
          <w:tcPr>
            <w:tcW w:w="2552"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Phần chi phí quản lý kinh doanh do công ty ở nước ngoài phân bổ cho cơ sở thường trú tại Việt Nam</w:t>
            </w:r>
            <w:r>
              <w:rPr>
                <w:rFonts w:ascii="Arial" w:hAnsi="Arial" w:cs="Arial"/>
                <w:sz w:val="20"/>
                <w:szCs w:val="20"/>
              </w:rPr>
              <w:t xml:space="preserve"> v</w:t>
            </w:r>
            <w:r w:rsidRPr="00DC1775">
              <w:rPr>
                <w:rFonts w:ascii="Arial" w:hAnsi="Arial" w:cs="Arial"/>
                <w:sz w:val="20"/>
                <w:szCs w:val="20"/>
              </w:rPr>
              <w:t>ượt mức chi phí được tính theo công thức:</w:t>
            </w:r>
          </w:p>
        </w:tc>
        <w:tc>
          <w:tcPr>
            <w:tcW w:w="6349" w:type="dxa"/>
            <w:vAlign w:val="center"/>
          </w:tcPr>
          <w:p w:rsidR="00C72CEF" w:rsidRPr="001B09B6" w:rsidRDefault="00C72CEF" w:rsidP="00C72CEF">
            <w:pPr>
              <w:spacing w:before="120" w:after="120" w:line="360" w:lineRule="auto"/>
              <w:rPr>
                <w:rFonts w:ascii="Arial" w:hAnsi="Arial" w:cs="Arial"/>
                <w:sz w:val="20"/>
                <w:szCs w:val="20"/>
              </w:rPr>
            </w:pPr>
            <w:r w:rsidRPr="001B09B6">
              <w:rPr>
                <w:rFonts w:ascii="Arial" w:hAnsi="Arial" w:cs="Arial"/>
                <w:sz w:val="20"/>
                <w:szCs w:val="20"/>
              </w:rPr>
              <w:t>Chi phí = (Doanh thu tính thuế của cơ sở thường trú tại Việt Nam trong kỳ tính thuế / Tổng doanh thu của công ty ở nước ngoài, bao gồm cả doanh thu của các cơ sở thường trú ở các nước khác trong kỳ tính thuế) X Tổng số chi phí quản lý kinh doanh của công ty ở nước ngoài trong kỳ tính thuế</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19</w:t>
            </w:r>
          </w:p>
        </w:tc>
        <w:tc>
          <w:tcPr>
            <w:tcW w:w="2552"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Các khoản chi không tương ứng với doanh thu tính thuế</w:t>
            </w: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Trừ các khoản chi sau:</w:t>
            </w:r>
          </w:p>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 Các khoản thực chi cho hoạt động phòng, chống HIV/AIDS tại nơi làm việc của doanh nghiệp</w:t>
            </w:r>
          </w:p>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 xml:space="preserve">- Khoản thực chi để thực hiện nhiệm vụ giáo dục quốc phòng và </w:t>
            </w:r>
            <w:proofErr w:type="gramStart"/>
            <w:r w:rsidRPr="00DC1775">
              <w:rPr>
                <w:rFonts w:ascii="Arial" w:hAnsi="Arial" w:cs="Arial"/>
                <w:sz w:val="20"/>
                <w:szCs w:val="20"/>
              </w:rPr>
              <w:t>an</w:t>
            </w:r>
            <w:proofErr w:type="gramEnd"/>
            <w:r w:rsidRPr="00DC1775">
              <w:rPr>
                <w:rFonts w:ascii="Arial" w:hAnsi="Arial" w:cs="Arial"/>
                <w:sz w:val="20"/>
                <w:szCs w:val="20"/>
              </w:rPr>
              <w:t xml:space="preserve"> ninh, huấn luyện, hoạt động của lực lượng dân quân tự vệ.</w:t>
            </w:r>
          </w:p>
          <w:p w:rsidR="00C72CEF" w:rsidRDefault="00C72CEF" w:rsidP="00C72CEF">
            <w:pPr>
              <w:spacing w:before="120" w:after="120" w:line="360" w:lineRule="auto"/>
              <w:rPr>
                <w:rFonts w:ascii="Arial" w:hAnsi="Arial" w:cs="Arial"/>
                <w:sz w:val="20"/>
                <w:szCs w:val="20"/>
              </w:rPr>
            </w:pPr>
            <w:r w:rsidRPr="00DC1775">
              <w:rPr>
                <w:rFonts w:ascii="Arial" w:hAnsi="Arial" w:cs="Arial"/>
                <w:sz w:val="20"/>
                <w:szCs w:val="20"/>
              </w:rPr>
              <w:t>- Khoản thực chi để hỗ trợ cho tổ chức Đảng, tổ chức chính trị xã hội trong doanh nghiệp.</w:t>
            </w:r>
          </w:p>
          <w:p w:rsidR="00C72CEF" w:rsidRPr="00DC1775" w:rsidRDefault="00C72CEF" w:rsidP="00C72CEF">
            <w:pPr>
              <w:spacing w:before="120" w:after="120" w:line="360" w:lineRule="auto"/>
              <w:rPr>
                <w:rFonts w:ascii="Arial" w:hAnsi="Arial" w:cs="Arial"/>
                <w:sz w:val="20"/>
                <w:szCs w:val="20"/>
              </w:rPr>
            </w:pPr>
            <w:r>
              <w:rPr>
                <w:rFonts w:ascii="Arial" w:hAnsi="Arial" w:cs="Arial"/>
                <w:sz w:val="20"/>
                <w:szCs w:val="20"/>
              </w:rPr>
              <w:t xml:space="preserve">- </w:t>
            </w:r>
            <w:r>
              <w:rPr>
                <w:rFonts w:ascii="Arial" w:hAnsi="Arial" w:cs="Arial"/>
                <w:color w:val="000000"/>
                <w:sz w:val="21"/>
                <w:szCs w:val="21"/>
                <w:shd w:val="clear" w:color="auto" w:fill="FFFFFF"/>
              </w:rPr>
              <w:t>Khoản chi có tính chất phúc lợi chi trực tiếp cho người lao động như: chi đám hiếu, hỷ của bản thân và gia đình người lao động; chi nghỉ mát, chi hỗ trợ điều trị; chi hỗ trợ bổ sung kiến thức học tập tại cơ sở đào tạo; chi hỗ trợ gia đình người lao động bị ảnh hưởng bởi thiên tai, địch họa, tai nạn, ốm đau; chi khen thưởng con của người lao động có thành tích tốt trong học tập; chi hỗ trợ chi phí đi lại ngày lễ, tết cho người lao động; chi bảo hiểm tai nạn, bảo hiểm sức khỏe, bảo hiểm tự nguyện khác cho người lao động (trừ khoản chi mua bảo hiểm nhân thọ cho người lao động, bảo hiểm hưu trí tự nguyện cho người lao động) và những khoản chi có tính chất phúc lợi khác. Tổng số chi có tính chất phúc lợi nêu trên không quá 01 tháng lương bình quân thực tế thực hiện trong năm tính thuế của doanh nghiệp.</w:t>
            </w:r>
          </w:p>
          <w:p w:rsidR="00C72CEF" w:rsidRDefault="00C72CEF" w:rsidP="00C72CEF">
            <w:pPr>
              <w:spacing w:before="120" w:after="120" w:line="360" w:lineRule="auto"/>
              <w:rPr>
                <w:rFonts w:ascii="Arial" w:hAnsi="Arial" w:cs="Arial"/>
                <w:sz w:val="20"/>
                <w:szCs w:val="20"/>
              </w:rPr>
            </w:pPr>
            <w:r w:rsidRPr="00DC1775">
              <w:rPr>
                <w:rFonts w:ascii="Arial" w:hAnsi="Arial" w:cs="Arial"/>
                <w:sz w:val="20"/>
                <w:szCs w:val="20"/>
              </w:rPr>
              <w:t>- Khoản chi cho hoạt động giáo dục nghề nghiệp và đào tạo nghề nghiệp cho NLĐ</w:t>
            </w:r>
            <w:r>
              <w:rPr>
                <w:rFonts w:ascii="Arial" w:hAnsi="Arial" w:cs="Arial"/>
                <w:sz w:val="20"/>
                <w:szCs w:val="20"/>
              </w:rPr>
              <w:t>, bao gồm:</w:t>
            </w:r>
          </w:p>
          <w:p w:rsidR="00C72CEF" w:rsidRPr="001B09B6" w:rsidRDefault="00C72CEF" w:rsidP="00C72CEF">
            <w:pPr>
              <w:pStyle w:val="ListParagraph"/>
              <w:numPr>
                <w:ilvl w:val="0"/>
                <w:numId w:val="26"/>
              </w:numPr>
              <w:spacing w:before="120" w:after="120" w:line="360" w:lineRule="auto"/>
              <w:rPr>
                <w:rFonts w:ascii="Arial" w:hAnsi="Arial" w:cs="Arial"/>
                <w:sz w:val="20"/>
                <w:szCs w:val="20"/>
              </w:rPr>
            </w:pPr>
            <w:r w:rsidRPr="001B09B6">
              <w:rPr>
                <w:rFonts w:ascii="Arial" w:eastAsia="Times New Roman" w:hAnsi="Arial" w:cs="Arial"/>
                <w:color w:val="000000"/>
                <w:sz w:val="21"/>
                <w:szCs w:val="21"/>
                <w:lang w:val="am-ET"/>
              </w:rPr>
              <w:t>Chi phí trả cho người dạy, tài liệu học tập, thiết bị dùng để hoạt động giáo dục nghề nghiệp, vật liệu thực hành, các chi phí khác hỗ trợ cho người học</w:t>
            </w:r>
            <w:r w:rsidRPr="001B09B6">
              <w:rPr>
                <w:rFonts w:ascii="Arial" w:eastAsia="Times New Roman" w:hAnsi="Arial" w:cs="Arial"/>
                <w:color w:val="000000"/>
                <w:sz w:val="21"/>
                <w:szCs w:val="21"/>
              </w:rPr>
              <w:t>;</w:t>
            </w:r>
          </w:p>
          <w:p w:rsidR="00C72CEF" w:rsidRPr="001B09B6" w:rsidRDefault="00C72CEF" w:rsidP="00C72CEF">
            <w:pPr>
              <w:pStyle w:val="ListParagraph"/>
              <w:numPr>
                <w:ilvl w:val="0"/>
                <w:numId w:val="26"/>
              </w:numPr>
              <w:spacing w:before="120" w:after="120" w:line="360" w:lineRule="auto"/>
              <w:rPr>
                <w:rFonts w:ascii="Arial" w:hAnsi="Arial" w:cs="Arial"/>
                <w:sz w:val="20"/>
                <w:szCs w:val="20"/>
              </w:rPr>
            </w:pPr>
            <w:r w:rsidRPr="001B09B6">
              <w:rPr>
                <w:rFonts w:ascii="Arial" w:eastAsia="Times New Roman" w:hAnsi="Arial" w:cs="Arial"/>
                <w:color w:val="000000"/>
                <w:sz w:val="21"/>
                <w:szCs w:val="21"/>
                <w:lang w:val="am-ET"/>
              </w:rPr>
              <w:t>Chi phí đào tạo của doanh nghiệp cho người lao động được tuyển dụng vào làm việc tại doanh nghiệp</w:t>
            </w:r>
            <w:r w:rsidRPr="001B09B6">
              <w:rPr>
                <w:rFonts w:ascii="Arial" w:eastAsia="Times New Roman" w:hAnsi="Arial" w:cs="Arial"/>
                <w:color w:val="000000"/>
                <w:sz w:val="21"/>
                <w:szCs w:val="21"/>
              </w:rPr>
              <w:t>.</w:t>
            </w:r>
          </w:p>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 Các khoản chi khác mang tính chất đặc thù, phù hợp theo từng ngành nghề, lĩnh vực theo văn bản hướng dẫn của Bộ Tài chính.</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20</w:t>
            </w:r>
          </w:p>
        </w:tc>
        <w:tc>
          <w:tcPr>
            <w:tcW w:w="2552"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Chi ủng hộ địa phương; chi ủng hộ các đoàn thể, tổ chức xã hội; chi từ thiện</w:t>
            </w: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Trừ khoản chi tài trợ cho giáo dục, y tế, khắc phục hậu quả thiên tai, làm nhà tình nghĩa, làm nhà cho người nghèo, làm nhà đại đoàn kết; tài trợ cho nghiên cứu khoa học, tài trợ cho các đối tượng chính sách theo quy định của pháp luật, tài trợ theo chương trình của Nhà nước dành cho các địa phương thuộc địa bàn có điều kiện kinh tế - xã hội đặc biệt khó khăn</w:t>
            </w:r>
            <w:r>
              <w:rPr>
                <w:rFonts w:ascii="Arial" w:hAnsi="Arial" w:cs="Arial"/>
                <w:sz w:val="20"/>
                <w:szCs w:val="20"/>
              </w:rPr>
              <w:t>.</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21</w:t>
            </w:r>
          </w:p>
        </w:tc>
        <w:tc>
          <w:tcPr>
            <w:tcW w:w="2552"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Khoản chi liên quan trực tiếp đến việc phát hành cổ phiếu và cổ tức của cổ phiếu, mua bán cổ phiếu quỹ và các khoản chi khác liên quan trực tiếp đến việc tăng, giảm vốn chủ sở hữu của doanh nghiệp.</w:t>
            </w: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Trừ cổ phiếu thuộc loại nợ phải trả, cổ tức của cổ phiếu thuộc loại nợ phải trả.</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22</w:t>
            </w:r>
          </w:p>
        </w:tc>
        <w:tc>
          <w:tcPr>
            <w:tcW w:w="2552"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Các khoản tiền phạt về vi phạm hành chính</w:t>
            </w: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Vi phạm luật giao thông, vi phạm chế độ đăng ký kinh doanh, vi phạm chế độ kế toán thống kê, vi phạm pháp luật về thuế bao gồm cả tiền chậm nộp thuế theo quy định của Luật Quản lý thuế và các khoản phạt về vi phạm hành chính khác theo quy định của pháp luật.</w:t>
            </w:r>
          </w:p>
        </w:tc>
      </w:tr>
      <w:tr w:rsidR="00C72CEF" w:rsidRPr="00DC1775" w:rsidTr="00190632">
        <w:trPr>
          <w:gridAfter w:val="1"/>
          <w:wAfter w:w="6349" w:type="dxa"/>
        </w:trPr>
        <w:tc>
          <w:tcPr>
            <w:tcW w:w="675" w:type="dxa"/>
            <w:vMerge w:val="restart"/>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23</w:t>
            </w:r>
          </w:p>
        </w:tc>
        <w:tc>
          <w:tcPr>
            <w:tcW w:w="2552" w:type="dxa"/>
            <w:vMerge w:val="restart"/>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Các khoản thuế</w:t>
            </w: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Thuế giá trị gia tăng đầu vào đã được khấu trừ hoặc hoàn thuế</w:t>
            </w:r>
            <w:r>
              <w:rPr>
                <w:rFonts w:ascii="Arial" w:hAnsi="Arial" w:cs="Arial"/>
                <w:sz w:val="20"/>
                <w:szCs w:val="20"/>
              </w:rPr>
              <w:t>.</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Thuế giá trị gia tăng đầu vào của tài sản cố định là ô tô từ 9 chỗ ngồi trở xuống vượt mức quy định được khấu trừ.</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Thuế thu nhập doanh nghiệp trừ trường hợp doanh nghiệp nộp thay thuế thu nhập doanh nghiệp của nhà thầu nước ngoài mà theo thoả thuận tại hợp đồng nhà thầu, nhà thầu phụ nước ngoài, doanh thu nhà thầu, nhà thầu phụ nước ngoài nhận được không bao gồm thuế thu nhập doanh nghiệp.</w:t>
            </w:r>
          </w:p>
        </w:tc>
      </w:tr>
      <w:tr w:rsidR="00C72CEF" w:rsidRPr="00DC1775" w:rsidTr="00190632">
        <w:trPr>
          <w:gridAfter w:val="1"/>
          <w:wAfter w:w="6349" w:type="dxa"/>
        </w:trPr>
        <w:tc>
          <w:tcPr>
            <w:tcW w:w="675"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2552" w:type="dxa"/>
            <w:vMerge/>
            <w:vAlign w:val="center"/>
          </w:tcPr>
          <w:p w:rsidR="00C72CEF" w:rsidRPr="00DC1775" w:rsidRDefault="00C72CEF" w:rsidP="00C72CEF">
            <w:pPr>
              <w:spacing w:before="120" w:after="120" w:line="360" w:lineRule="auto"/>
              <w:jc w:val="center"/>
              <w:rPr>
                <w:rFonts w:ascii="Arial" w:hAnsi="Arial" w:cs="Arial"/>
                <w:sz w:val="20"/>
                <w:szCs w:val="20"/>
              </w:rPr>
            </w:pPr>
          </w:p>
        </w:tc>
        <w:tc>
          <w:tcPr>
            <w:tcW w:w="6349" w:type="dxa"/>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Thuế thu nhập cá nhân trừ trường hợp doanh nghiệp ký hợp đồng lao động quy định tiền lương, tiền công trả cho người lao động không bao gồm thuế thu nhập cá nhân.</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24</w:t>
            </w:r>
          </w:p>
        </w:tc>
        <w:tc>
          <w:tcPr>
            <w:tcW w:w="8901" w:type="dxa"/>
            <w:gridSpan w:val="2"/>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Phần chi vượt mức 01 triệu đồng/tháng/người để: Trích nộp quỹ hưu trí tự nguyện, mua bảo hiểm hưu trí tự nguyện cho người lao động.</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25</w:t>
            </w:r>
          </w:p>
        </w:tc>
        <w:tc>
          <w:tcPr>
            <w:tcW w:w="8901" w:type="dxa"/>
            <w:gridSpan w:val="2"/>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Khoản chi trả trợ cấp mất việc làm cho người lao động không theo đúng quy định hiện hành.</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26</w:t>
            </w:r>
          </w:p>
        </w:tc>
        <w:tc>
          <w:tcPr>
            <w:tcW w:w="8901" w:type="dxa"/>
            <w:gridSpan w:val="2"/>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Chi đóng góp hình thành nguồn chi phí quản lý cho cấp trên.</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27</w:t>
            </w:r>
          </w:p>
        </w:tc>
        <w:tc>
          <w:tcPr>
            <w:tcW w:w="8901" w:type="dxa"/>
            <w:gridSpan w:val="2"/>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Phần chi đóng góp vào các quỹ của Hiệp hội (các Hiệp hội này được thành lập theo quy định của pháp luật) vượt quá mức quy định của Hiệp hội.</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28</w:t>
            </w:r>
          </w:p>
        </w:tc>
        <w:tc>
          <w:tcPr>
            <w:tcW w:w="8901" w:type="dxa"/>
            <w:gridSpan w:val="2"/>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Phần chi phí thuê tài sản cố định vượt quá mức phân bổ theo số năm mà bên đi thuê trả tiền trước.</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29</w:t>
            </w:r>
          </w:p>
        </w:tc>
        <w:tc>
          <w:tcPr>
            <w:tcW w:w="8901" w:type="dxa"/>
            <w:gridSpan w:val="2"/>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Phần chi phí trả lãi tiền vay vốn sản xuất kinh doanh của đối tượng không phải là tổ chức tín dụng hoặc tổ chức kinh tế vượt quá 150% mức lãi suất cơ bản do Ngân hàng Nhà nước Việt Nam công bố tại thời điểm vay.</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30</w:t>
            </w:r>
          </w:p>
        </w:tc>
        <w:tc>
          <w:tcPr>
            <w:tcW w:w="8901" w:type="dxa"/>
            <w:gridSpan w:val="2"/>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Chi trả lãi tiền vay tương ứng với phần vốn điều lệ (đối với doanh nghiệp tư nhân là vốn đầu tư) đã đăng ký còn thiếu theo tiến độ góp vốn ghi trong điều lệ của doanh nghiệp kể cả trường hợp doanh nghiệp đã đi vào sản xuất kinh doanh.</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31</w:t>
            </w:r>
          </w:p>
        </w:tc>
        <w:tc>
          <w:tcPr>
            <w:tcW w:w="8901" w:type="dxa"/>
            <w:gridSpan w:val="2"/>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Chi tài trợ nghiên cứu khoa học không đúng quy định; chi tài trợ cho các đối tượng chính sách không theo quy định của pháp luật; chi tài trợ không theo chương trình của Nhà nước dành cho các địa phương thuộc địa bàn có điều kiện kinh tế - xã hội đặc biệt khó khăn.</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32</w:t>
            </w:r>
          </w:p>
        </w:tc>
        <w:tc>
          <w:tcPr>
            <w:tcW w:w="8901" w:type="dxa"/>
            <w:gridSpan w:val="2"/>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Các khoản chi được bù đắp bằng nguồn kinh phí khác; Các khoản chi đã được chi từ quỹ phát triển khoa học và công nghệ của doanh nghiệp; Chi phí mua thẻ hội viên sân gôn, chi phí chơi gôn.</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33</w:t>
            </w:r>
          </w:p>
        </w:tc>
        <w:tc>
          <w:tcPr>
            <w:tcW w:w="8901" w:type="dxa"/>
            <w:gridSpan w:val="2"/>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Phần chi phí liên quan đến việc thuê quản lý đối với hoạt động kinh doanh trò chơi điện tử có thưởng, kinh doanh casino vượt quá 4% doanh thu hoạt động kinh doanh trò chơi điện tử có thưởng, kinh doanh casino.</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34</w:t>
            </w:r>
          </w:p>
        </w:tc>
        <w:tc>
          <w:tcPr>
            <w:tcW w:w="8901" w:type="dxa"/>
            <w:gridSpan w:val="2"/>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Chi về đầu tư xây dựng cơ bản trong giai đoạn đầu tư để hình thành tài sản cố định</w:t>
            </w:r>
            <w:r>
              <w:rPr>
                <w:rFonts w:ascii="Arial" w:hAnsi="Arial" w:cs="Arial"/>
                <w:sz w:val="20"/>
                <w:szCs w:val="20"/>
              </w:rPr>
              <w:t>.</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35</w:t>
            </w:r>
          </w:p>
        </w:tc>
        <w:tc>
          <w:tcPr>
            <w:tcW w:w="8901" w:type="dxa"/>
            <w:gridSpan w:val="2"/>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Số tiền cấp quyền khai thác khoáng sản vượt mức thực tế phát sinh của năm.</w:t>
            </w:r>
          </w:p>
        </w:tc>
      </w:tr>
      <w:tr w:rsidR="00C72CEF" w:rsidRPr="00DC1775"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36</w:t>
            </w:r>
          </w:p>
        </w:tc>
        <w:tc>
          <w:tcPr>
            <w:tcW w:w="8901" w:type="dxa"/>
            <w:gridSpan w:val="2"/>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Các khoản chi của hoạt động kinh doanh bảo hiểm, kinh doanh xổ số, kinh doanh chứng khoán và một số hoạt động kinh doanh đặc thù khác không thực hiện đúng theo văn bản hướng dẫn riêng của Bộ Tài chính.</w:t>
            </w:r>
          </w:p>
        </w:tc>
      </w:tr>
      <w:tr w:rsidR="00C72CEF" w:rsidRPr="00C527BA" w:rsidTr="00190632">
        <w:trPr>
          <w:gridAfter w:val="1"/>
          <w:wAfter w:w="6349" w:type="dxa"/>
        </w:trPr>
        <w:tc>
          <w:tcPr>
            <w:tcW w:w="675" w:type="dxa"/>
            <w:vAlign w:val="center"/>
          </w:tcPr>
          <w:p w:rsidR="00C72CEF" w:rsidRPr="00DC1775" w:rsidRDefault="00C72CEF" w:rsidP="00C72CEF">
            <w:pPr>
              <w:spacing w:before="120" w:after="120" w:line="360" w:lineRule="auto"/>
              <w:jc w:val="center"/>
              <w:rPr>
                <w:rFonts w:ascii="Arial" w:hAnsi="Arial" w:cs="Arial"/>
                <w:sz w:val="20"/>
                <w:szCs w:val="20"/>
              </w:rPr>
            </w:pPr>
            <w:r w:rsidRPr="00DC1775">
              <w:rPr>
                <w:rFonts w:ascii="Arial" w:hAnsi="Arial" w:cs="Arial"/>
                <w:sz w:val="20"/>
                <w:szCs w:val="20"/>
              </w:rPr>
              <w:t>37</w:t>
            </w:r>
          </w:p>
        </w:tc>
        <w:tc>
          <w:tcPr>
            <w:tcW w:w="8901" w:type="dxa"/>
            <w:gridSpan w:val="2"/>
            <w:vAlign w:val="center"/>
          </w:tcPr>
          <w:p w:rsidR="00C72CEF" w:rsidRPr="00DC1775" w:rsidRDefault="00C72CEF" w:rsidP="00C72CEF">
            <w:pPr>
              <w:spacing w:before="120" w:after="120" w:line="360" w:lineRule="auto"/>
              <w:rPr>
                <w:rFonts w:ascii="Arial" w:hAnsi="Arial" w:cs="Arial"/>
                <w:sz w:val="20"/>
                <w:szCs w:val="20"/>
              </w:rPr>
            </w:pPr>
            <w:r w:rsidRPr="00DC1775">
              <w:rPr>
                <w:rFonts w:ascii="Arial" w:hAnsi="Arial" w:cs="Arial"/>
                <w:sz w:val="20"/>
                <w:szCs w:val="20"/>
              </w:rPr>
              <w:t>Chi tài trợ cho việc khắc phục hậu quả thiên tai không đúng đối tượng hoặc không có hồ sơ xác định khoản tài trợ.</w:t>
            </w:r>
          </w:p>
        </w:tc>
      </w:tr>
    </w:tbl>
    <w:p w:rsidR="00C71ACB" w:rsidRPr="00C71ACB" w:rsidRDefault="00C71ACB">
      <w:pPr>
        <w:rPr>
          <w:b/>
          <w:i/>
        </w:rPr>
      </w:pPr>
    </w:p>
    <w:p w:rsidR="00C71ACB" w:rsidRDefault="00C71ACB"/>
    <w:sectPr w:rsidR="00C71A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1F7" w:rsidRDefault="001651F7" w:rsidP="0014102E">
      <w:pPr>
        <w:spacing w:after="0" w:line="240" w:lineRule="auto"/>
      </w:pPr>
      <w:r>
        <w:separator/>
      </w:r>
    </w:p>
  </w:endnote>
  <w:endnote w:type="continuationSeparator" w:id="0">
    <w:p w:rsidR="001651F7" w:rsidRDefault="001651F7" w:rsidP="00141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1F7" w:rsidRDefault="001651F7" w:rsidP="0014102E">
      <w:pPr>
        <w:spacing w:after="0" w:line="240" w:lineRule="auto"/>
      </w:pPr>
      <w:r>
        <w:separator/>
      </w:r>
    </w:p>
  </w:footnote>
  <w:footnote w:type="continuationSeparator" w:id="0">
    <w:p w:rsidR="001651F7" w:rsidRDefault="001651F7" w:rsidP="001410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518"/>
    <w:multiLevelType w:val="hybridMultilevel"/>
    <w:tmpl w:val="9E50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5014B"/>
    <w:multiLevelType w:val="hybridMultilevel"/>
    <w:tmpl w:val="AC2E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80582"/>
    <w:multiLevelType w:val="hybridMultilevel"/>
    <w:tmpl w:val="285E026A"/>
    <w:lvl w:ilvl="0" w:tplc="0D6A1E98">
      <w:numFmt w:val="bullet"/>
      <w:lvlText w:val="-"/>
      <w:lvlJc w:val="left"/>
      <w:pPr>
        <w:ind w:left="720" w:hanging="360"/>
      </w:pPr>
      <w:rPr>
        <w:rFonts w:ascii="Arial" w:eastAsiaTheme="minorHAnsi" w:hAnsi="Arial" w:cs="Arial"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74378"/>
    <w:multiLevelType w:val="hybridMultilevel"/>
    <w:tmpl w:val="A44A4270"/>
    <w:lvl w:ilvl="0" w:tplc="D5EE94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939FE"/>
    <w:multiLevelType w:val="hybridMultilevel"/>
    <w:tmpl w:val="E8A8290A"/>
    <w:lvl w:ilvl="0" w:tplc="3CBC555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221271"/>
    <w:multiLevelType w:val="hybridMultilevel"/>
    <w:tmpl w:val="8ADC9042"/>
    <w:lvl w:ilvl="0" w:tplc="F3862144">
      <w:start w:val="3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7B00C6"/>
    <w:multiLevelType w:val="hybridMultilevel"/>
    <w:tmpl w:val="ECF065D8"/>
    <w:lvl w:ilvl="0" w:tplc="B99059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9266F"/>
    <w:multiLevelType w:val="hybridMultilevel"/>
    <w:tmpl w:val="AF0C075C"/>
    <w:lvl w:ilvl="0" w:tplc="A4B8B2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45D69"/>
    <w:multiLevelType w:val="hybridMultilevel"/>
    <w:tmpl w:val="A42E06E6"/>
    <w:lvl w:ilvl="0" w:tplc="FDA2F04E">
      <w:start w:val="3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82526"/>
    <w:multiLevelType w:val="hybridMultilevel"/>
    <w:tmpl w:val="996A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C6C5E"/>
    <w:multiLevelType w:val="hybridMultilevel"/>
    <w:tmpl w:val="2C622AD4"/>
    <w:lvl w:ilvl="0" w:tplc="3CBC555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0A039A"/>
    <w:multiLevelType w:val="hybridMultilevel"/>
    <w:tmpl w:val="2B0A9758"/>
    <w:lvl w:ilvl="0" w:tplc="F386214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A334FC"/>
    <w:multiLevelType w:val="hybridMultilevel"/>
    <w:tmpl w:val="CFCE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9E6678"/>
    <w:multiLevelType w:val="hybridMultilevel"/>
    <w:tmpl w:val="A5D0A8DA"/>
    <w:lvl w:ilvl="0" w:tplc="F3862144">
      <w:start w:val="3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CD2CC9"/>
    <w:multiLevelType w:val="hybridMultilevel"/>
    <w:tmpl w:val="8D567DFC"/>
    <w:lvl w:ilvl="0" w:tplc="F3862144">
      <w:start w:val="3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726112"/>
    <w:multiLevelType w:val="hybridMultilevel"/>
    <w:tmpl w:val="8D0809D0"/>
    <w:lvl w:ilvl="0" w:tplc="F3862144">
      <w:start w:val="3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70294E"/>
    <w:multiLevelType w:val="hybridMultilevel"/>
    <w:tmpl w:val="90CA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C127CB"/>
    <w:multiLevelType w:val="hybridMultilevel"/>
    <w:tmpl w:val="0B8ECBAC"/>
    <w:lvl w:ilvl="0" w:tplc="F386214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3B5295"/>
    <w:multiLevelType w:val="hybridMultilevel"/>
    <w:tmpl w:val="23028356"/>
    <w:lvl w:ilvl="0" w:tplc="1310C7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951F45"/>
    <w:multiLevelType w:val="hybridMultilevel"/>
    <w:tmpl w:val="914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DB7D2C"/>
    <w:multiLevelType w:val="hybridMultilevel"/>
    <w:tmpl w:val="8D3A7F24"/>
    <w:lvl w:ilvl="0" w:tplc="7B304BCE">
      <w:start w:val="2"/>
      <w:numFmt w:val="bullet"/>
      <w:lvlText w:val="-"/>
      <w:lvlJc w:val="left"/>
      <w:pPr>
        <w:ind w:left="720" w:hanging="360"/>
      </w:pPr>
      <w:rPr>
        <w:rFonts w:ascii="Arial" w:eastAsiaTheme="minorHAnsi" w:hAnsi="Arial" w:cs="Arial"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FC5F9B"/>
    <w:multiLevelType w:val="hybridMultilevel"/>
    <w:tmpl w:val="19E60AB2"/>
    <w:lvl w:ilvl="0" w:tplc="F3862144">
      <w:start w:val="3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405979"/>
    <w:multiLevelType w:val="hybridMultilevel"/>
    <w:tmpl w:val="9342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892FE1"/>
    <w:multiLevelType w:val="hybridMultilevel"/>
    <w:tmpl w:val="9EAA4794"/>
    <w:lvl w:ilvl="0" w:tplc="9E3E35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9D5605"/>
    <w:multiLevelType w:val="hybridMultilevel"/>
    <w:tmpl w:val="7434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386E42"/>
    <w:multiLevelType w:val="hybridMultilevel"/>
    <w:tmpl w:val="BAA4BE38"/>
    <w:lvl w:ilvl="0" w:tplc="741026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3"/>
  </w:num>
  <w:num w:numId="4">
    <w:abstractNumId w:val="21"/>
  </w:num>
  <w:num w:numId="5">
    <w:abstractNumId w:val="14"/>
  </w:num>
  <w:num w:numId="6">
    <w:abstractNumId w:val="19"/>
  </w:num>
  <w:num w:numId="7">
    <w:abstractNumId w:val="5"/>
  </w:num>
  <w:num w:numId="8">
    <w:abstractNumId w:val="15"/>
  </w:num>
  <w:num w:numId="9">
    <w:abstractNumId w:val="24"/>
  </w:num>
  <w:num w:numId="10">
    <w:abstractNumId w:val="9"/>
  </w:num>
  <w:num w:numId="11">
    <w:abstractNumId w:val="16"/>
  </w:num>
  <w:num w:numId="12">
    <w:abstractNumId w:val="17"/>
  </w:num>
  <w:num w:numId="13">
    <w:abstractNumId w:val="20"/>
  </w:num>
  <w:num w:numId="14">
    <w:abstractNumId w:val="11"/>
  </w:num>
  <w:num w:numId="15">
    <w:abstractNumId w:val="1"/>
  </w:num>
  <w:num w:numId="16">
    <w:abstractNumId w:val="12"/>
  </w:num>
  <w:num w:numId="17">
    <w:abstractNumId w:val="25"/>
  </w:num>
  <w:num w:numId="18">
    <w:abstractNumId w:val="23"/>
  </w:num>
  <w:num w:numId="19">
    <w:abstractNumId w:val="3"/>
  </w:num>
  <w:num w:numId="20">
    <w:abstractNumId w:val="6"/>
  </w:num>
  <w:num w:numId="21">
    <w:abstractNumId w:val="18"/>
  </w:num>
  <w:num w:numId="22">
    <w:abstractNumId w:val="7"/>
  </w:num>
  <w:num w:numId="23">
    <w:abstractNumId w:val="2"/>
  </w:num>
  <w:num w:numId="24">
    <w:abstractNumId w:val="4"/>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AA3"/>
    <w:rsid w:val="0014102E"/>
    <w:rsid w:val="001651F7"/>
    <w:rsid w:val="00190632"/>
    <w:rsid w:val="00193733"/>
    <w:rsid w:val="001B09B6"/>
    <w:rsid w:val="00250D0F"/>
    <w:rsid w:val="00495759"/>
    <w:rsid w:val="004C0E03"/>
    <w:rsid w:val="004D40FF"/>
    <w:rsid w:val="00534D48"/>
    <w:rsid w:val="007803CD"/>
    <w:rsid w:val="007A4898"/>
    <w:rsid w:val="007C4A3B"/>
    <w:rsid w:val="00833100"/>
    <w:rsid w:val="00907B54"/>
    <w:rsid w:val="00A32D3A"/>
    <w:rsid w:val="00A826E0"/>
    <w:rsid w:val="00BB7A88"/>
    <w:rsid w:val="00C71ACB"/>
    <w:rsid w:val="00C72CEF"/>
    <w:rsid w:val="00CC4E00"/>
    <w:rsid w:val="00ED02DE"/>
    <w:rsid w:val="00F47E4E"/>
    <w:rsid w:val="00FA1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02E"/>
  </w:style>
  <w:style w:type="paragraph" w:styleId="Footer">
    <w:name w:val="footer"/>
    <w:basedOn w:val="Normal"/>
    <w:link w:val="FooterChar"/>
    <w:uiPriority w:val="99"/>
    <w:unhideWhenUsed/>
    <w:rsid w:val="00141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02E"/>
  </w:style>
  <w:style w:type="table" w:styleId="TableGrid">
    <w:name w:val="Table Grid"/>
    <w:basedOn w:val="TableNormal"/>
    <w:uiPriority w:val="59"/>
    <w:rsid w:val="00C71A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50D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0D0F"/>
    <w:rPr>
      <w:color w:val="0000FF"/>
      <w:u w:val="single"/>
    </w:rPr>
  </w:style>
  <w:style w:type="paragraph" w:styleId="ListParagraph">
    <w:name w:val="List Paragraph"/>
    <w:basedOn w:val="Normal"/>
    <w:uiPriority w:val="34"/>
    <w:qFormat/>
    <w:rsid w:val="00250D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02E"/>
  </w:style>
  <w:style w:type="paragraph" w:styleId="Footer">
    <w:name w:val="footer"/>
    <w:basedOn w:val="Normal"/>
    <w:link w:val="FooterChar"/>
    <w:uiPriority w:val="99"/>
    <w:unhideWhenUsed/>
    <w:rsid w:val="00141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02E"/>
  </w:style>
  <w:style w:type="table" w:styleId="TableGrid">
    <w:name w:val="Table Grid"/>
    <w:basedOn w:val="TableNormal"/>
    <w:uiPriority w:val="59"/>
    <w:rsid w:val="00C71A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50D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0D0F"/>
    <w:rPr>
      <w:color w:val="0000FF"/>
      <w:u w:val="single"/>
    </w:rPr>
  </w:style>
  <w:style w:type="paragraph" w:styleId="ListParagraph">
    <w:name w:val="List Paragraph"/>
    <w:basedOn w:val="Normal"/>
    <w:uiPriority w:val="34"/>
    <w:qFormat/>
    <w:rsid w:val="00250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64049">
      <w:bodyDiv w:val="1"/>
      <w:marLeft w:val="0"/>
      <w:marRight w:val="0"/>
      <w:marTop w:val="0"/>
      <w:marBottom w:val="0"/>
      <w:divBdr>
        <w:top w:val="none" w:sz="0" w:space="0" w:color="auto"/>
        <w:left w:val="none" w:sz="0" w:space="0" w:color="auto"/>
        <w:bottom w:val="none" w:sz="0" w:space="0" w:color="auto"/>
        <w:right w:val="none" w:sz="0" w:space="0" w:color="auto"/>
      </w:divBdr>
    </w:div>
    <w:div w:id="347683490">
      <w:bodyDiv w:val="1"/>
      <w:marLeft w:val="0"/>
      <w:marRight w:val="0"/>
      <w:marTop w:val="0"/>
      <w:marBottom w:val="0"/>
      <w:divBdr>
        <w:top w:val="none" w:sz="0" w:space="0" w:color="auto"/>
        <w:left w:val="none" w:sz="0" w:space="0" w:color="auto"/>
        <w:bottom w:val="none" w:sz="0" w:space="0" w:color="auto"/>
        <w:right w:val="none" w:sz="0" w:space="0" w:color="auto"/>
      </w:divBdr>
    </w:div>
    <w:div w:id="364521450">
      <w:bodyDiv w:val="1"/>
      <w:marLeft w:val="0"/>
      <w:marRight w:val="0"/>
      <w:marTop w:val="0"/>
      <w:marBottom w:val="0"/>
      <w:divBdr>
        <w:top w:val="none" w:sz="0" w:space="0" w:color="auto"/>
        <w:left w:val="none" w:sz="0" w:space="0" w:color="auto"/>
        <w:bottom w:val="none" w:sz="0" w:space="0" w:color="auto"/>
        <w:right w:val="none" w:sz="0" w:space="0" w:color="auto"/>
      </w:divBdr>
    </w:div>
    <w:div w:id="445277810">
      <w:bodyDiv w:val="1"/>
      <w:marLeft w:val="0"/>
      <w:marRight w:val="0"/>
      <w:marTop w:val="0"/>
      <w:marBottom w:val="0"/>
      <w:divBdr>
        <w:top w:val="none" w:sz="0" w:space="0" w:color="auto"/>
        <w:left w:val="none" w:sz="0" w:space="0" w:color="auto"/>
        <w:bottom w:val="none" w:sz="0" w:space="0" w:color="auto"/>
        <w:right w:val="none" w:sz="0" w:space="0" w:color="auto"/>
      </w:divBdr>
    </w:div>
    <w:div w:id="641085033">
      <w:bodyDiv w:val="1"/>
      <w:marLeft w:val="0"/>
      <w:marRight w:val="0"/>
      <w:marTop w:val="0"/>
      <w:marBottom w:val="0"/>
      <w:divBdr>
        <w:top w:val="none" w:sz="0" w:space="0" w:color="auto"/>
        <w:left w:val="none" w:sz="0" w:space="0" w:color="auto"/>
        <w:bottom w:val="none" w:sz="0" w:space="0" w:color="auto"/>
        <w:right w:val="none" w:sz="0" w:space="0" w:color="auto"/>
      </w:divBdr>
    </w:div>
    <w:div w:id="770588348">
      <w:bodyDiv w:val="1"/>
      <w:marLeft w:val="0"/>
      <w:marRight w:val="0"/>
      <w:marTop w:val="0"/>
      <w:marBottom w:val="0"/>
      <w:divBdr>
        <w:top w:val="none" w:sz="0" w:space="0" w:color="auto"/>
        <w:left w:val="none" w:sz="0" w:space="0" w:color="auto"/>
        <w:bottom w:val="none" w:sz="0" w:space="0" w:color="auto"/>
        <w:right w:val="none" w:sz="0" w:space="0" w:color="auto"/>
      </w:divBdr>
    </w:div>
    <w:div w:id="836991915">
      <w:bodyDiv w:val="1"/>
      <w:marLeft w:val="0"/>
      <w:marRight w:val="0"/>
      <w:marTop w:val="0"/>
      <w:marBottom w:val="0"/>
      <w:divBdr>
        <w:top w:val="none" w:sz="0" w:space="0" w:color="auto"/>
        <w:left w:val="none" w:sz="0" w:space="0" w:color="auto"/>
        <w:bottom w:val="none" w:sz="0" w:space="0" w:color="auto"/>
        <w:right w:val="none" w:sz="0" w:space="0" w:color="auto"/>
      </w:divBdr>
    </w:div>
    <w:div w:id="957566912">
      <w:bodyDiv w:val="1"/>
      <w:marLeft w:val="0"/>
      <w:marRight w:val="0"/>
      <w:marTop w:val="0"/>
      <w:marBottom w:val="0"/>
      <w:divBdr>
        <w:top w:val="none" w:sz="0" w:space="0" w:color="auto"/>
        <w:left w:val="none" w:sz="0" w:space="0" w:color="auto"/>
        <w:bottom w:val="none" w:sz="0" w:space="0" w:color="auto"/>
        <w:right w:val="none" w:sz="0" w:space="0" w:color="auto"/>
      </w:divBdr>
    </w:div>
    <w:div w:id="1422801612">
      <w:bodyDiv w:val="1"/>
      <w:marLeft w:val="0"/>
      <w:marRight w:val="0"/>
      <w:marTop w:val="0"/>
      <w:marBottom w:val="0"/>
      <w:divBdr>
        <w:top w:val="none" w:sz="0" w:space="0" w:color="auto"/>
        <w:left w:val="none" w:sz="0" w:space="0" w:color="auto"/>
        <w:bottom w:val="none" w:sz="0" w:space="0" w:color="auto"/>
        <w:right w:val="none" w:sz="0" w:space="0" w:color="auto"/>
      </w:divBdr>
    </w:div>
    <w:div w:id="1833837867">
      <w:bodyDiv w:val="1"/>
      <w:marLeft w:val="0"/>
      <w:marRight w:val="0"/>
      <w:marTop w:val="0"/>
      <w:marBottom w:val="0"/>
      <w:divBdr>
        <w:top w:val="none" w:sz="0" w:space="0" w:color="auto"/>
        <w:left w:val="none" w:sz="0" w:space="0" w:color="auto"/>
        <w:bottom w:val="none" w:sz="0" w:space="0" w:color="auto"/>
        <w:right w:val="none" w:sz="0" w:space="0" w:color="auto"/>
      </w:divBdr>
    </w:div>
    <w:div w:id="1921864591">
      <w:bodyDiv w:val="1"/>
      <w:marLeft w:val="0"/>
      <w:marRight w:val="0"/>
      <w:marTop w:val="0"/>
      <w:marBottom w:val="0"/>
      <w:divBdr>
        <w:top w:val="none" w:sz="0" w:space="0" w:color="auto"/>
        <w:left w:val="none" w:sz="0" w:space="0" w:color="auto"/>
        <w:bottom w:val="none" w:sz="0" w:space="0" w:color="auto"/>
        <w:right w:val="none" w:sz="0" w:space="0" w:color="auto"/>
      </w:divBdr>
    </w:div>
    <w:div w:id="1943300993">
      <w:bodyDiv w:val="1"/>
      <w:marLeft w:val="0"/>
      <w:marRight w:val="0"/>
      <w:marTop w:val="0"/>
      <w:marBottom w:val="0"/>
      <w:divBdr>
        <w:top w:val="none" w:sz="0" w:space="0" w:color="auto"/>
        <w:left w:val="none" w:sz="0" w:space="0" w:color="auto"/>
        <w:bottom w:val="none" w:sz="0" w:space="0" w:color="auto"/>
        <w:right w:val="none" w:sz="0" w:space="0" w:color="auto"/>
      </w:divBdr>
    </w:div>
    <w:div w:id="1950813961">
      <w:bodyDiv w:val="1"/>
      <w:marLeft w:val="0"/>
      <w:marRight w:val="0"/>
      <w:marTop w:val="0"/>
      <w:marBottom w:val="0"/>
      <w:divBdr>
        <w:top w:val="none" w:sz="0" w:space="0" w:color="auto"/>
        <w:left w:val="none" w:sz="0" w:space="0" w:color="auto"/>
        <w:bottom w:val="none" w:sz="0" w:space="0" w:color="auto"/>
        <w:right w:val="none" w:sz="0" w:space="0" w:color="auto"/>
      </w:divBdr>
    </w:div>
    <w:div w:id="1995529046">
      <w:bodyDiv w:val="1"/>
      <w:marLeft w:val="0"/>
      <w:marRight w:val="0"/>
      <w:marTop w:val="0"/>
      <w:marBottom w:val="0"/>
      <w:divBdr>
        <w:top w:val="none" w:sz="0" w:space="0" w:color="auto"/>
        <w:left w:val="none" w:sz="0" w:space="0" w:color="auto"/>
        <w:bottom w:val="none" w:sz="0" w:space="0" w:color="auto"/>
        <w:right w:val="none" w:sz="0" w:space="0" w:color="auto"/>
      </w:divBdr>
    </w:div>
    <w:div w:id="20168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hukyluat.vn/tim-kiem/?keyword=78/2014/TT-BTC&amp;match=True&amp;area=2&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A2CDC-D057-4A44-B8FD-07344D99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4451</Words>
  <Characters>25375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2018-01-23T02:49:00Z</dcterms:created>
  <dcterms:modified xsi:type="dcterms:W3CDTF">2018-01-23T02:49:00Z</dcterms:modified>
</cp:coreProperties>
</file>